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before="0"/>
      </w:pPr>
      <w:r>
        <w:rPr>
          <w:rFonts w:ascii="Arial" w:cs="Arial" w:eastAsia="Arial" w:hAnsi="Arial"/>
          <w:b/>
          <w:bCs/>
          <w:color w:val="185FA5"/>
          <w:spacing w:val="80"/>
          <w:sz w:val="18"/>
          <w:szCs w:val="18"/>
        </w:rPr>
        <w:t xml:space="preserve">CASE STUDY #2</w:t>
      </w:r>
    </w:p>
    <w:p>
      <w:pPr>
        <w:pStyle w:val="Heading1"/>
      </w:pPr>
      <w:r>
        <w:rPr>
          <w:rFonts w:ascii="Arial" w:cs="Arial" w:eastAsia="Arial" w:hAnsi="Arial"/>
          <w:b/>
          <w:bCs/>
          <w:color w:val="042C53"/>
          <w:sz w:val="44"/>
          <w:szCs w:val="44"/>
        </w:rPr>
        <w:t xml:space="preserve">When the Numbers Don’t Add Up — and Someone Knows Why</w:t>
      </w:r>
    </w:p>
    <w:p>
      <w:pPr>
        <w:spacing w:after="160" w:before="0"/>
      </w:pPr>
      <w:r>
        <w:rPr>
          <w:rFonts w:ascii="Arial" w:cs="Arial" w:eastAsia="Arial" w:hAnsi="Arial"/>
          <w:i/>
          <w:iCs/>
          <w:color w:val="555555"/>
          <w:sz w:val="24"/>
          <w:szCs w:val="24"/>
        </w:rPr>
        <w:t xml:space="preserve">There was no single dramatic moment that triggered this one. No $846,000 aging report. No Tuesday morning panic call. Just a doctor who kept looking at her bank account, looking at her production numbers, and quietly thinking: something is not right.</w:t>
      </w:r>
    </w:p>
    <w:p>
      <w:pPr>
        <w:pBdr>
          <w:bottom w:val="single" w:color="DDDDDD" w:sz="4"/>
        </w:pBdr>
        <w:spacing w:after="400" w:before="0"/>
      </w:pPr>
      <w:r>
        <w:rPr>
          <w:rFonts w:ascii="Arial" w:cs="Arial" w:eastAsia="Arial" w:hAnsi="Arial"/>
          <w:b/>
          <w:bCs/>
          <w:i/>
          <w:iCs/>
          <w:color w:val="555555"/>
          <w:sz w:val="24"/>
          <w:szCs w:val="24"/>
        </w:rPr>
        <w:t xml:space="preserve">She was correct.</w:t>
      </w:r>
    </w:p>
    <w:p>
      <w:pPr>
        <w:pStyle w:val="Heading2"/>
        <w:spacing w:after="160" w:before="360"/>
      </w:pPr>
      <w:r>
        <w:rPr>
          <w:rFonts w:ascii="Arial" w:cs="Arial" w:eastAsia="Arial" w:hAnsi="Arial"/>
          <w:b/>
          <w:bCs/>
          <w:color w:val="185FA5"/>
          <w:sz w:val="30"/>
          <w:szCs w:val="30"/>
        </w:rPr>
        <w:t xml:space="preserve">The setup</w:t>
      </w:r>
    </w:p>
    <w:p>
      <w:pPr>
        <w:spacing w:after="220" w:before="0"/>
      </w:pPr>
      <w:r>
        <w:rPr>
          <w:rFonts w:ascii="Arial" w:cs="Arial" w:eastAsia="Arial" w:hAnsi="Arial"/>
          <w:color w:val="222222"/>
          <w:sz w:val="24"/>
          <w:szCs w:val="24"/>
        </w:rPr>
        <w:t xml:space="preserve">The practice participated with one insurance carrier — Delta Dental. One. Which should make the math relatively straightforward. The AR wasn’t catastrophic on the surface — $70,000 in over-90 aging — but the adjustments on the account were confusing the doctor, and the money in the bank simply did not reflect the work being completed. She couldn’t explain the gap. She needed someone to help her understand the numbers.</w:t>
      </w:r>
    </w:p>
    <w:p>
      <w:pPr>
        <w:spacing w:after="220" w:before="0"/>
      </w:pPr>
      <w:r>
        <w:rPr>
          <w:rFonts w:ascii="Arial" w:cs="Arial" w:eastAsia="Arial" w:hAnsi="Arial"/>
          <w:color w:val="222222"/>
          <w:sz w:val="24"/>
          <w:szCs w:val="24"/>
        </w:rPr>
        <w:t xml:space="preserve">That is exactly the moment Revenue Protection Architecture exists for.</w:t>
      </w:r>
    </w:p>
    <w:p>
      <w:pPr>
        <w:pStyle w:val="Heading2"/>
        <w:spacing w:after="160" w:before="360"/>
      </w:pPr>
      <w:r>
        <w:rPr>
          <w:rFonts w:ascii="Arial" w:cs="Arial" w:eastAsia="Arial" w:hAnsi="Arial"/>
          <w:b/>
          <w:bCs/>
          <w:color w:val="185FA5"/>
          <w:sz w:val="30"/>
          <w:szCs w:val="30"/>
        </w:rPr>
        <w:t xml:space="preserve">What we found when we looked closer</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0"/>
        <w:gridCol w:w="3360"/>
      </w:tblGrid>
      <w:tr>
        <w:tc>
          <w:tcPr>
            <w:tcW w:type="dxa" w:w="6000"/>
            <w:tcBorders>
              <w:top w:val="single" w:color="CCCCCC" w:sz="1"/>
              <w:left w:val="single" w:color="CCCCCC" w:sz="1"/>
              <w:bottom w:val="single" w:color="CCCCCC" w:sz="1"/>
              <w:right w:val="single" w:color="CCCCCC" w:sz="1"/>
            </w:tcBorders>
            <w:shd w:fill="EBF3FB" w:val="clear"/>
            <w:tcMar>
              <w:top w:type="dxa" w:w="100"/>
              <w:left w:type="dxa" w:w="160"/>
              <w:bottom w:type="dxa" w:w="100"/>
              <w:right w:type="dxa" w:w="160"/>
            </w:tcMar>
          </w:tcPr>
          <w:p>
            <w:r>
              <w:rPr>
                <w:rFonts w:ascii="Arial" w:cs="Arial" w:eastAsia="Arial" w:hAnsi="Arial"/>
                <w:color w:val="333333"/>
                <w:sz w:val="22"/>
                <w:szCs w:val="22"/>
              </w:rPr>
              <w:t xml:space="preserve">Over-90 AR</w:t>
            </w:r>
          </w:p>
        </w:tc>
        <w:tc>
          <w:tcPr>
            <w:tcW w:type="dxa" w:w="3360"/>
            <w:tcBorders>
              <w:top w:val="single" w:color="CCCCCC" w:sz="1"/>
              <w:left w:val="single" w:color="CCCCCC" w:sz="1"/>
              <w:bottom w:val="single" w:color="CCCCCC" w:sz="1"/>
              <w:right w:val="single" w:color="CCCCCC" w:sz="1"/>
            </w:tcBorders>
            <w:shd w:fill="EBF3FB" w:val="clear"/>
            <w:tcMar>
              <w:top w:type="dxa" w:w="100"/>
              <w:left w:type="dxa" w:w="160"/>
              <w:bottom w:type="dxa" w:w="100"/>
              <w:right w:type="dxa" w:w="160"/>
            </w:tcMar>
          </w:tcPr>
          <w:p>
            <w:pPr>
              <w:jc w:val="right"/>
            </w:pPr>
            <w:r>
              <w:rPr>
                <w:rFonts w:ascii="Arial" w:cs="Arial" w:eastAsia="Arial" w:hAnsi="Arial"/>
                <w:b/>
                <w:bCs/>
                <w:color w:val="042C53"/>
                <w:sz w:val="22"/>
                <w:szCs w:val="22"/>
              </w:rPr>
              <w:t xml:space="preserve">$70,000</w:t>
            </w:r>
          </w:p>
        </w:tc>
      </w:tr>
      <w:tr>
        <w:tc>
          <w:tcPr>
            <w:tcW w:type="dxa" w:w="6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color w:val="333333"/>
                <w:sz w:val="22"/>
                <w:szCs w:val="22"/>
              </w:rPr>
              <w:t xml:space="preserve">Adjustment category — insurance write-offs</w:t>
            </w:r>
          </w:p>
        </w:tc>
        <w:tc>
          <w:tcPr>
            <w:tcW w:type="dxa" w:w="3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pPr>
              <w:jc w:val="right"/>
            </w:pPr>
            <w:r>
              <w:rPr>
                <w:rFonts w:ascii="Arial" w:cs="Arial" w:eastAsia="Arial" w:hAnsi="Arial"/>
                <w:b/>
                <w:bCs/>
                <w:color w:val="042C53"/>
                <w:sz w:val="22"/>
                <w:szCs w:val="22"/>
              </w:rPr>
              <w:t xml:space="preserve">60%</w:t>
            </w:r>
          </w:p>
        </w:tc>
      </w:tr>
      <w:tr>
        <w:tc>
          <w:tcPr>
            <w:tcW w:type="dxa" w:w="6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color w:val="333333"/>
                <w:sz w:val="22"/>
                <w:szCs w:val="22"/>
              </w:rPr>
              <w:t xml:space="preserve">Adjustment category — cash discounts</w:t>
            </w:r>
          </w:p>
        </w:tc>
        <w:tc>
          <w:tcPr>
            <w:tcW w:type="dxa" w:w="3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pPr>
              <w:jc w:val="right"/>
            </w:pPr>
            <w:r>
              <w:rPr>
                <w:rFonts w:ascii="Arial" w:cs="Arial" w:eastAsia="Arial" w:hAnsi="Arial"/>
                <w:b/>
                <w:bCs/>
                <w:color w:val="042C53"/>
                <w:sz w:val="22"/>
                <w:szCs w:val="22"/>
              </w:rPr>
              <w:t xml:space="preserve">Small portion</w:t>
            </w:r>
          </w:p>
        </w:tc>
      </w:tr>
      <w:tr>
        <w:tc>
          <w:tcPr>
            <w:tcW w:type="dxa" w:w="60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color w:val="333333"/>
                <w:sz w:val="22"/>
                <w:szCs w:val="22"/>
              </w:rPr>
              <w:t xml:space="preserve">Adjustment category — debit adjustments / card refunds</w:t>
            </w:r>
          </w:p>
        </w:tc>
        <w:tc>
          <w:tcPr>
            <w:tcW w:type="dxa" w:w="33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pPr>
              <w:jc w:val="right"/>
            </w:pPr>
            <w:r>
              <w:rPr>
                <w:rFonts w:ascii="Arial" w:cs="Arial" w:eastAsia="Arial" w:hAnsi="Arial"/>
                <w:b/>
                <w:bCs/>
                <w:color w:val="042C53"/>
                <w:sz w:val="22"/>
                <w:szCs w:val="22"/>
              </w:rPr>
              <w:t xml:space="preserve">Identified</w:t>
            </w:r>
          </w:p>
        </w:tc>
      </w:tr>
      <w:tr>
        <w:tc>
          <w:tcPr>
            <w:tcW w:type="dxa" w:w="6000"/>
            <w:tcBorders>
              <w:top w:val="single" w:color="CCCCCC" w:sz="1"/>
              <w:left w:val="single" w:color="CCCCCC" w:sz="1"/>
              <w:bottom w:val="single" w:color="CCCCCC" w:sz="1"/>
              <w:right w:val="single" w:color="CCCCCC" w:sz="1"/>
            </w:tcBorders>
            <w:shd w:fill="FFF3E6" w:val="clear"/>
            <w:tcMar>
              <w:top w:type="dxa" w:w="100"/>
              <w:left w:type="dxa" w:w="160"/>
              <w:bottom w:type="dxa" w:w="100"/>
              <w:right w:type="dxa" w:w="160"/>
            </w:tcMar>
          </w:tcPr>
          <w:p>
            <w:r>
              <w:rPr>
                <w:rFonts w:ascii="Arial" w:cs="Arial" w:eastAsia="Arial" w:hAnsi="Arial"/>
                <w:color w:val="333333"/>
                <w:sz w:val="22"/>
                <w:szCs w:val="22"/>
              </w:rPr>
              <w:t xml:space="preserve">Fraudulent write-offs and refunds combined</w:t>
            </w:r>
          </w:p>
        </w:tc>
        <w:tc>
          <w:tcPr>
            <w:tcW w:type="dxa" w:w="3360"/>
            <w:tcBorders>
              <w:top w:val="single" w:color="CCCCCC" w:sz="1"/>
              <w:left w:val="single" w:color="CCCCCC" w:sz="1"/>
              <w:bottom w:val="single" w:color="CCCCCC" w:sz="1"/>
              <w:right w:val="single" w:color="CCCCCC" w:sz="1"/>
            </w:tcBorders>
            <w:shd w:fill="FFF3E6" w:val="clear"/>
            <w:tcMar>
              <w:top w:type="dxa" w:w="100"/>
              <w:left w:type="dxa" w:w="160"/>
              <w:bottom w:type="dxa" w:w="100"/>
              <w:right w:type="dxa" w:w="160"/>
            </w:tcMar>
          </w:tcPr>
          <w:p>
            <w:pPr>
              <w:jc w:val="right"/>
            </w:pPr>
            <w:r>
              <w:rPr>
                <w:rFonts w:ascii="Arial" w:cs="Arial" w:eastAsia="Arial" w:hAnsi="Arial"/>
                <w:b/>
                <w:bCs/>
                <w:color w:val="042C53"/>
                <w:sz w:val="22"/>
                <w:szCs w:val="22"/>
              </w:rPr>
              <w:t xml:space="preserve">$3,200</w:t>
            </w:r>
          </w:p>
        </w:tc>
      </w:tr>
    </w:tbl>
    <w:p>
      <w:pPr>
        <w:spacing w:after="320" w:before="0"/>
      </w:pPr>
      <w:r>
        <w:t xml:space="preserve"/>
      </w:r>
    </w:p>
    <w:p>
      <w:pPr>
        <w:pStyle w:val="Heading2"/>
        <w:spacing w:after="160" w:before="360"/>
      </w:pPr>
      <w:r>
        <w:rPr>
          <w:rFonts w:ascii="Arial" w:cs="Arial" w:eastAsia="Arial" w:hAnsi="Arial"/>
          <w:b/>
          <w:bCs/>
          <w:color w:val="185FA5"/>
          <w:sz w:val="30"/>
          <w:szCs w:val="30"/>
        </w:rPr>
        <w:t xml:space="preserve">60% — The Fee Schedule That Wasn’t the Problem</w:t>
      </w:r>
    </w:p>
    <w:p>
      <w:pPr>
        <w:spacing w:after="220" w:before="0"/>
      </w:pPr>
      <w:r>
        <w:rPr>
          <w:rFonts w:ascii="Arial" w:cs="Arial" w:eastAsia="Arial" w:hAnsi="Arial"/>
          <w:color w:val="222222"/>
          <w:sz w:val="24"/>
          <w:szCs w:val="24"/>
        </w:rPr>
        <w:t xml:space="preserve">The doctor’s first instinct was that the fee schedules were loaded incorrectly in the software. A reasonable assumption — it happens all the time. But in this case, the fee schedules were accurate. Delta Dental’s contracted rates were correct. The insurance payments were being posted correctly.</w:t>
      </w:r>
    </w:p>
    <w:p>
      <w:pPr>
        <w:spacing w:after="220" w:before="0"/>
      </w:pPr>
      <w:r>
        <w:rPr>
          <w:rFonts w:ascii="Arial" w:cs="Arial" w:eastAsia="Arial" w:hAnsi="Arial"/>
          <w:color w:val="222222"/>
          <w:sz w:val="24"/>
          <w:szCs w:val="24"/>
        </w:rPr>
        <w:t xml:space="preserve">The problem was what happened next.</w:t>
      </w:r>
    </w:p>
    <w:p>
      <w:pPr>
        <w:spacing w:after="220" w:before="0"/>
      </w:pPr>
      <w:r>
        <w:rPr>
          <w:rFonts w:ascii="Arial" w:cs="Arial" w:eastAsia="Arial" w:hAnsi="Arial"/>
          <w:color w:val="222222"/>
          <w:sz w:val="24"/>
          <w:szCs w:val="24"/>
        </w:rPr>
        <w:t xml:space="preserve">After posting the insurance payment, the employee responsible for payment posting was writing off the patient’s remaining balance. Selectively. Not across the board — selectively. Certain patients were simply not being billed for their portion. The balance disappeared into an adjustment line, the account looked closed, and no one noticed.</w:t>
      </w:r>
    </w:p>
    <w:p>
      <w:pPr>
        <w:spacing w:after="220" w:before="0"/>
      </w:pPr>
      <w:r>
        <w:rPr>
          <w:rFonts w:ascii="Arial" w:cs="Arial" w:eastAsia="Arial" w:hAnsi="Arial"/>
          <w:color w:val="222222"/>
          <w:sz w:val="24"/>
          <w:szCs w:val="24"/>
        </w:rPr>
        <w:t xml:space="preserve">Until someone looked.</w:t>
      </w:r>
    </w:p>
    <w:p>
      <w:pPr>
        <w:pStyle w:val="Heading2"/>
        <w:spacing w:after="160" w:before="360"/>
      </w:pPr>
      <w:r>
        <w:rPr>
          <w:rFonts w:ascii="Arial" w:cs="Arial" w:eastAsia="Arial" w:hAnsi="Arial"/>
          <w:b/>
          <w:bCs/>
          <w:color w:val="185FA5"/>
          <w:sz w:val="30"/>
          <w:szCs w:val="30"/>
        </w:rPr>
        <w:t xml:space="preserve">The Debit Adjustments — Where It Got Serious</w:t>
      </w:r>
    </w:p>
    <w:p>
      <w:pPr>
        <w:spacing w:after="220" w:before="0"/>
      </w:pPr>
      <w:r>
        <w:rPr>
          <w:rFonts w:ascii="Arial" w:cs="Arial" w:eastAsia="Arial" w:hAnsi="Arial"/>
          <w:color w:val="222222"/>
          <w:sz w:val="24"/>
          <w:szCs w:val="24"/>
        </w:rPr>
        <w:t xml:space="preserve">Buried in the adjustment report were refunds being processed back to credit cards. On older dates of service. This alone can be legitimate — sometimes refunds happen. But when these were pulled and reviewed, the credit cards receiving the refunds did not belong to the patients on the accounts.</w:t>
      </w:r>
    </w:p>
    <w:p>
      <w:pPr>
        <w:spacing w:after="220" w:before="0"/>
      </w:pPr>
      <w:r>
        <w:rPr>
          <w:rFonts w:ascii="Arial" w:cs="Arial" w:eastAsia="Arial" w:hAnsi="Arial"/>
          <w:b/>
          <w:bCs/>
          <w:color w:val="222222"/>
          <w:sz w:val="24"/>
          <w:szCs w:val="24"/>
        </w:rPr>
        <w:t xml:space="preserve">Read that again.</w:t>
      </w:r>
    </w:p>
    <w:p>
      <w:pPr>
        <w:spacing w:after="220" w:before="0"/>
      </w:pPr>
      <w:r>
        <w:rPr>
          <w:rFonts w:ascii="Arial" w:cs="Arial" w:eastAsia="Arial" w:hAnsi="Arial"/>
          <w:color w:val="222222"/>
          <w:sz w:val="24"/>
          <w:szCs w:val="24"/>
        </w:rPr>
        <w:t xml:space="preserve">Refunds were being issued to credit cards that did not belong to the patients.</w:t>
      </w:r>
    </w:p>
    <w:p>
      <w:pPr>
        <w:spacing w:after="220" w:before="0"/>
      </w:pPr>
      <w:r>
        <w:rPr>
          <w:rFonts w:ascii="Arial" w:cs="Arial" w:eastAsia="Arial" w:hAnsi="Arial"/>
          <w:color w:val="222222"/>
          <w:sz w:val="24"/>
          <w:szCs w:val="24"/>
        </w:rPr>
        <w:t xml:space="preserve">This was not a billing error. This was not a software glitch. The total identified was $3,200 — caught early, and only caught because the doctor was confused enough by her numbers to ask for help. Had she not asked, this would have continued.</w:t>
      </w:r>
    </w:p>
    <w:p>
      <w:pPr>
        <w:pStyle w:val="Heading2"/>
        <w:spacing w:after="160" w:before="360"/>
      </w:pPr>
      <w:r>
        <w:rPr>
          <w:rFonts w:ascii="Arial" w:cs="Arial" w:eastAsia="Arial" w:hAnsi="Arial"/>
          <w:b/>
          <w:bCs/>
          <w:color w:val="185FA5"/>
          <w:sz w:val="30"/>
          <w:szCs w:val="30"/>
        </w:rPr>
        <w:t xml:space="preserve">The part that keeps me up at night</w:t>
      </w:r>
    </w:p>
    <w:p>
      <w:pPr>
        <w:spacing w:after="220" w:before="0"/>
      </w:pPr>
      <w:r>
        <w:rPr>
          <w:rFonts w:ascii="Arial" w:cs="Arial" w:eastAsia="Arial" w:hAnsi="Arial"/>
          <w:color w:val="222222"/>
          <w:sz w:val="24"/>
          <w:szCs w:val="24"/>
        </w:rPr>
        <w:t xml:space="preserve">This doctor did everything right as a clinician. She built a practice. She trusted her team. She hired someone experienced to handle the financial side. And that trust — completely reasonable, completely normal trust — created the cover that allowed $3,200 to walk out the door, patient balances to quietly disappear, and the bank account to silently drift from what the production numbers promised.</w:t>
      </w:r>
    </w:p>
    <w:p>
      <w:pPr>
        <w:spacing w:after="220" w:before="0"/>
      </w:pPr>
      <w:r>
        <w:rPr>
          <w:rFonts w:ascii="Arial" w:cs="Arial" w:eastAsia="Arial" w:hAnsi="Arial"/>
          <w:color w:val="222222"/>
          <w:sz w:val="24"/>
          <w:szCs w:val="24"/>
        </w:rPr>
        <w:t xml:space="preserve">The scariest part is not the $3,200. The scariest part is how long it could have gone undetected if the doctor had simply accepted that she didn’t understand the numbers — and stopped asking questions.</w:t>
      </w:r>
    </w:p>
    <w:p>
      <w:pPr>
        <w:pBdr>
          <w:top w:val="none" w:color="FFFFFF" w:sz="0"/>
          <w:left w:val="single" w:color="185FA5" w:sz="18"/>
          <w:bottom w:val="none" w:color="FFFFFF" w:sz="0"/>
          <w:right w:val="none" w:color="FFFFFF" w:sz="0"/>
        </w:pBdr>
        <w:shd w:fill="EBF3FB" w:val="clear"/>
        <w:spacing w:after="320" w:before="280"/>
        <w:ind w:left="360"/>
      </w:pPr>
      <w:r>
        <w:rPr>
          <w:rFonts w:ascii="Arial" w:cs="Arial" w:eastAsia="Arial" w:hAnsi="Arial"/>
          <w:i/>
          <w:iCs/>
          <w:color w:val="185FA5"/>
          <w:sz w:val="26"/>
          <w:szCs w:val="26"/>
        </w:rPr>
        <w:t xml:space="preserve">“Confusion is not a character flaw. Ignoring confusion is.”</w:t>
      </w:r>
    </w:p>
    <w:p>
      <w:pPr>
        <w:pStyle w:val="Heading2"/>
        <w:spacing w:after="160" w:before="360"/>
      </w:pPr>
      <w:r>
        <w:rPr>
          <w:rFonts w:ascii="Arial" w:cs="Arial" w:eastAsia="Arial" w:hAnsi="Arial"/>
          <w:b/>
          <w:bCs/>
          <w:color w:val="185FA5"/>
          <w:sz w:val="30"/>
          <w:szCs w:val="30"/>
        </w:rPr>
        <w:t xml:space="preserve">What changed</w:t>
      </w:r>
    </w:p>
    <w:p>
      <w:pPr>
        <w:spacing w:after="220" w:before="0"/>
      </w:pPr>
      <w:r>
        <w:rPr>
          <w:rFonts w:ascii="Arial" w:cs="Arial" w:eastAsia="Arial" w:hAnsi="Arial"/>
          <w:color w:val="222222"/>
          <w:sz w:val="24"/>
          <w:szCs w:val="24"/>
        </w:rPr>
        <w:t xml:space="preserve">The employee was terminated. Law enforcement was notified. Policies were put in place. Practice management software access settings were restructured so that no single employee had unchecked ability to post payments, apply adjustments, and process refunds. And the doctor — who once felt embarrassed that she didn’t understand her own numbers — now reviews her adjustment report every single day.</w:t>
      </w:r>
    </w:p>
    <w:p>
      <w:pPr>
        <w:spacing w:after="220" w:before="0"/>
      </w:pPr>
      <w:r>
        <w:rPr>
          <w:rFonts w:ascii="Arial" w:cs="Arial" w:eastAsia="Arial" w:hAnsi="Arial"/>
          <w:color w:val="222222"/>
          <w:sz w:val="24"/>
          <w:szCs w:val="24"/>
        </w:rPr>
        <w:t xml:space="preserve">Owner oversight is not micromanagement. It is the last line of defense. And sometimes, it is the only thing standing between a trusted employee and an ongoing financial crime.</w:t>
      </w:r>
    </w:p>
    <w:p>
      <w:pPr>
        <w:pBdr>
          <w:bottom w:val="single" w:color="DDDDDD" w:sz="4"/>
        </w:pBdr>
        <w:spacing w:after="0" w:before="240"/>
      </w:pPr>
      <w:r>
        <w:t xml:space="preserve"/>
      </w:r>
    </w:p>
    <w:p>
      <w:pPr>
        <w:spacing w:after="200" w:before="0"/>
      </w:pPr>
      <w:r>
        <w:t xml:space="preserve"/>
      </w:r>
    </w:p>
    <w:p>
      <w:pPr>
        <w:spacing w:after="160" w:before="0"/>
      </w:pPr>
      <w:r>
        <w:rPr>
          <w:rFonts w:ascii="Arial" w:cs="Arial" w:eastAsia="Arial" w:hAnsi="Arial"/>
          <w:b/>
          <w:bCs/>
          <w:color w:val="185FA5"/>
          <w:spacing w:val="80"/>
          <w:sz w:val="18"/>
          <w:szCs w:val="18"/>
        </w:rPr>
        <w:t xml:space="preserve">WHAT THIS CASE ILLUSTRATES</w:t>
      </w:r>
    </w:p>
    <w:p>
      <w:pPr>
        <w:pStyle w:val="ListParagraph"/>
        <w:numPr>
          <w:ilvl w:val="0"/>
          <w:numId w:val="2"/>
        </w:numPr>
        <w:spacing w:after="60" w:before="60"/>
      </w:pPr>
      <w:r>
        <w:rPr>
          <w:rFonts w:ascii="Arial" w:cs="Arial" w:eastAsia="Arial" w:hAnsi="Arial"/>
          <w:color w:val="444444"/>
          <w:sz w:val="22"/>
          <w:szCs w:val="22"/>
        </w:rPr>
        <w:t xml:space="preserve">A low AR number does not mean a healthy AR — it means you need to look at what is being adjusted out</w:t>
      </w:r>
    </w:p>
    <w:p>
      <w:pPr>
        <w:pStyle w:val="ListParagraph"/>
        <w:numPr>
          <w:ilvl w:val="0"/>
          <w:numId w:val="2"/>
        </w:numPr>
        <w:spacing w:after="60" w:before="60"/>
      </w:pPr>
      <w:r>
        <w:rPr>
          <w:rFonts w:ascii="Arial" w:cs="Arial" w:eastAsia="Arial" w:hAnsi="Arial"/>
          <w:color w:val="444444"/>
          <w:sz w:val="22"/>
          <w:szCs w:val="22"/>
        </w:rPr>
        <w:t xml:space="preserve">Fee schedule accuracy does not protect you from payment posting errors</w:t>
      </w:r>
    </w:p>
    <w:p>
      <w:pPr>
        <w:pStyle w:val="ListParagraph"/>
        <w:numPr>
          <w:ilvl w:val="0"/>
          <w:numId w:val="2"/>
        </w:numPr>
        <w:spacing w:after="60" w:before="60"/>
      </w:pPr>
      <w:r>
        <w:rPr>
          <w:rFonts w:ascii="Arial" w:cs="Arial" w:eastAsia="Arial" w:hAnsi="Arial"/>
          <w:color w:val="444444"/>
          <w:sz w:val="22"/>
          <w:szCs w:val="22"/>
        </w:rPr>
        <w:t xml:space="preserve">Selective write-offs of patient balances are nearly invisible without regular adjustment audits</w:t>
      </w:r>
    </w:p>
    <w:p>
      <w:pPr>
        <w:pStyle w:val="ListParagraph"/>
        <w:numPr>
          <w:ilvl w:val="0"/>
          <w:numId w:val="2"/>
        </w:numPr>
        <w:spacing w:after="60" w:before="60"/>
      </w:pPr>
      <w:r>
        <w:rPr>
          <w:rFonts w:ascii="Arial" w:cs="Arial" w:eastAsia="Arial" w:hAnsi="Arial"/>
          <w:color w:val="444444"/>
          <w:sz w:val="22"/>
          <w:szCs w:val="22"/>
        </w:rPr>
        <w:t xml:space="preserve">Refunds require a second set of eyes — always verify the card on file belongs to the patient</w:t>
      </w:r>
    </w:p>
    <w:p>
      <w:pPr>
        <w:pStyle w:val="ListParagraph"/>
        <w:numPr>
          <w:ilvl w:val="0"/>
          <w:numId w:val="2"/>
        </w:numPr>
        <w:spacing w:after="60" w:before="60"/>
      </w:pPr>
      <w:r>
        <w:rPr>
          <w:rFonts w:ascii="Arial" w:cs="Arial" w:eastAsia="Arial" w:hAnsi="Arial"/>
          <w:color w:val="444444"/>
          <w:sz w:val="22"/>
          <w:szCs w:val="22"/>
        </w:rPr>
        <w:t xml:space="preserve">Software access controls are a financial control point, not an IT preference</w:t>
      </w:r>
    </w:p>
    <w:p>
      <w:pPr>
        <w:pStyle w:val="ListParagraph"/>
        <w:numPr>
          <w:ilvl w:val="0"/>
          <w:numId w:val="2"/>
        </w:numPr>
        <w:spacing w:after="60" w:before="60"/>
      </w:pPr>
      <w:r>
        <w:rPr>
          <w:rFonts w:ascii="Arial" w:cs="Arial" w:eastAsia="Arial" w:hAnsi="Arial"/>
          <w:color w:val="444444"/>
          <w:sz w:val="22"/>
          <w:szCs w:val="22"/>
        </w:rPr>
        <w:t xml:space="preserve">Owner oversight caught this. Nothing else would have.</w:t>
      </w:r>
    </w:p>
    <w:p>
      <w:pPr>
        <w:pBdr>
          <w:bottom w:val="single" w:color="DDDDDD" w:sz="4"/>
        </w:pBdr>
        <w:spacing w:after="0" w:before="400"/>
      </w:pPr>
      <w:r>
        <w:t xml:space="preserve"/>
      </w:r>
    </w:p>
    <w:p>
      <w:pPr>
        <w:spacing w:after="160" w:before="0"/>
      </w:pPr>
      <w:r>
        <w:t xml:space="preserve"/>
      </w:r>
    </w:p>
    <w:p>
      <w:r>
        <w:rPr>
          <w:rFonts w:ascii="Arial" w:cs="Arial" w:eastAsia="Arial" w:hAnsi="Arial"/>
          <w:b/>
          <w:bCs/>
          <w:color w:val="222222"/>
          <w:sz w:val="24"/>
          <w:szCs w:val="24"/>
        </w:rPr>
        <w:t xml:space="preserve">Michelle</w:t>
      </w:r>
      <w:r>
        <w:rPr>
          <w:rFonts w:ascii="Arial" w:cs="Arial" w:eastAsia="Arial" w:hAnsi="Arial"/>
          <w:color w:val="888888"/>
          <w:sz w:val="20"/>
          <w:szCs w:val="20"/>
        </w:rPr>
        <w:t xml:space="preserve">  |  Keynote Speaker · Creator of Revenue Protection Architecture · 36 Years in Dental Revenue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2222"/>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0"/>
      <w:outlineLvl w:val="0"/>
    </w:pPr>
    <w:rPr>
      <w:rFonts w:ascii="Arial" w:cs="Arial" w:eastAsia="Arial" w:hAnsi="Arial"/>
      <w:b/>
      <w:bCs/>
      <w:color w:val="042C53"/>
      <w:sz w:val="44"/>
      <w:szCs w:val="44"/>
    </w:rPr>
  </w:style>
  <w:style w:type="paragraph" w:styleId="Heading2">
    <w:name w:val="Heading 2"/>
    <w:basedOn w:val="Normal"/>
    <w:next w:val="Normal"/>
    <w:qFormat/>
    <w:pPr>
      <w:spacing w:after="160" w:before="320"/>
      <w:outlineLvl w:val="1"/>
    </w:pPr>
    <w:rPr>
      <w:rFonts w:ascii="Arial" w:cs="Arial" w:eastAsia="Arial" w:hAnsi="Arial"/>
      <w:b/>
      <w:bCs/>
      <w:color w:val="185FA5"/>
      <w:sz w:val="30"/>
      <w:szCs w:val="3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2026-05-20T09:20:24.580Z</dcterms:created>
  <dcterms:modified xsi:type="dcterms:W3CDTF">2026-05-20T09:20:24.594Z</dcterms:modified>
</cp:coreProperties>
</file>

<file path=docProps/custom.xml><?xml version="1.0" encoding="utf-8"?>
<Properties xmlns="http://schemas.openxmlformats.org/officeDocument/2006/custom-properties" xmlns:vt="http://schemas.openxmlformats.org/officeDocument/2006/docPropsVTypes"/>
</file>