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before="0"/>
      </w:pPr>
      <w:r>
        <w:rPr>
          <w:rFonts w:ascii="Arial" w:cs="Arial" w:eastAsia="Arial" w:hAnsi="Arial"/>
          <w:b/>
          <w:bCs/>
          <w:color w:val="185FA5"/>
          <w:spacing w:val="80"/>
          <w:sz w:val="18"/>
          <w:szCs w:val="18"/>
        </w:rPr>
        <w:t xml:space="preserve">CASE STUDY #1</w:t>
      </w:r>
    </w:p>
    <w:p>
      <w:pPr>
        <w:pStyle w:val="Heading1"/>
      </w:pPr>
      <w:r>
        <w:rPr>
          <w:rFonts w:ascii="Arial" w:cs="Arial" w:eastAsia="Arial" w:hAnsi="Arial"/>
          <w:b/>
          <w:bCs/>
          <w:color w:val="042C53"/>
          <w:sz w:val="44"/>
          <w:szCs w:val="44"/>
        </w:rPr>
        <w:t xml:space="preserve">The $846,230 Tuesday Morning Wake-Up Call</w:t>
      </w:r>
    </w:p>
    <w:p>
      <w:pPr>
        <w:pBdr>
          <w:bottom w:val="single" w:color="DDDDDD" w:sz="4"/>
        </w:pBdr>
        <w:spacing w:after="400" w:before="0"/>
      </w:pPr>
      <w:r>
        <w:rPr>
          <w:rFonts w:ascii="Arial" w:cs="Arial" w:eastAsia="Arial" w:hAnsi="Arial"/>
          <w:i/>
          <w:iCs/>
          <w:color w:val="555555"/>
          <w:sz w:val="24"/>
          <w:szCs w:val="24"/>
        </w:rPr>
        <w:t xml:space="preserve">It was a regular Tuesday. The kind of Tuesday where you grab your coffee, check your messages, and — if you happen to be a dental practice owner — discover that over $846,000 is sitting in your over-90 insurance aging report. To his credit, he called immediately. That is not always what happens.</w:t>
      </w:r>
    </w:p>
    <w:p>
      <w:pPr>
        <w:spacing w:after="160" w:before="3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760"/>
        <w:gridCol w:w="3600"/>
      </w:tblGrid>
      <w:tr>
        <w:tc>
          <w:tcPr>
            <w:tcW w:type="dxa" w:w="5760"/>
            <w:tcBorders>
              <w:top w:val="single" w:color="CCCCCC" w:sz="1"/>
              <w:left w:val="single" w:color="CCCCCC" w:sz="1"/>
              <w:bottom w:val="single" w:color="CCCCCC" w:sz="1"/>
              <w:right w:val="single" w:color="CCCCCC" w:sz="1"/>
            </w:tcBorders>
            <w:shd w:fill="EBF3FB" w:val="clear"/>
            <w:tcMar>
              <w:top w:type="dxa" w:w="100"/>
              <w:left w:type="dxa" w:w="160"/>
              <w:bottom w:type="dxa" w:w="100"/>
              <w:right w:type="dxa" w:w="160"/>
            </w:tcMar>
          </w:tcPr>
          <w:p>
            <w:r>
              <w:rPr>
                <w:rFonts w:ascii="Arial" w:cs="Arial" w:eastAsia="Arial" w:hAnsi="Arial"/>
                <w:color w:val="333333"/>
                <w:sz w:val="22"/>
                <w:szCs w:val="22"/>
              </w:rPr>
              <w:t xml:space="preserve">Total over-90 aging</w:t>
            </w:r>
          </w:p>
        </w:tc>
        <w:tc>
          <w:tcPr>
            <w:tcW w:type="dxa" w:w="3600"/>
            <w:tcBorders>
              <w:top w:val="single" w:color="CCCCCC" w:sz="1"/>
              <w:left w:val="single" w:color="CCCCCC" w:sz="1"/>
              <w:bottom w:val="single" w:color="CCCCCC" w:sz="1"/>
              <w:right w:val="single" w:color="CCCCCC" w:sz="1"/>
            </w:tcBorders>
            <w:shd w:fill="EBF3FB" w:val="clear"/>
            <w:tcMar>
              <w:top w:type="dxa" w:w="100"/>
              <w:left w:type="dxa" w:w="160"/>
              <w:bottom w:type="dxa" w:w="100"/>
              <w:right w:type="dxa" w:w="160"/>
            </w:tcMar>
          </w:tcPr>
          <w:p>
            <w:pPr>
              <w:jc w:val="right"/>
            </w:pPr>
            <w:r>
              <w:rPr>
                <w:rFonts w:ascii="Arial" w:cs="Arial" w:eastAsia="Arial" w:hAnsi="Arial"/>
                <w:b/>
                <w:bCs/>
                <w:color w:val="042C53"/>
                <w:sz w:val="22"/>
                <w:szCs w:val="22"/>
              </w:rPr>
              <w:t xml:space="preserve">$846,230</w:t>
            </w:r>
          </w:p>
        </w:tc>
      </w:tr>
      <w:tr>
        <w:tc>
          <w:tcPr>
            <w:tcW w:type="dxa" w:w="5760"/>
            <w:tcBorders>
              <w:top w:val="single" w:color="CCCCCC" w:sz="1"/>
              <w:left w:val="single" w:color="CCCCCC" w:sz="1"/>
              <w:bottom w:val="single" w:color="CCCCCC" w:sz="1"/>
              <w:right w:val="single" w:color="CCCCCC" w:sz="1"/>
            </w:tcBorders>
            <w:shd w:fill="FFF3E6" w:val="clear"/>
            <w:tcMar>
              <w:top w:type="dxa" w:w="100"/>
              <w:left w:type="dxa" w:w="160"/>
              <w:bottom w:type="dxa" w:w="100"/>
              <w:right w:type="dxa" w:w="160"/>
            </w:tcMar>
          </w:tcPr>
          <w:p>
            <w:r>
              <w:rPr>
                <w:rFonts w:ascii="Arial" w:cs="Arial" w:eastAsia="Arial" w:hAnsi="Arial"/>
                <w:color w:val="333333"/>
                <w:sz w:val="22"/>
                <w:szCs w:val="22"/>
              </w:rPr>
              <w:t xml:space="preserve">Written off (3+ years old)</w:t>
            </w:r>
          </w:p>
        </w:tc>
        <w:tc>
          <w:tcPr>
            <w:tcW w:type="dxa" w:w="3600"/>
            <w:tcBorders>
              <w:top w:val="single" w:color="CCCCCC" w:sz="1"/>
              <w:left w:val="single" w:color="CCCCCC" w:sz="1"/>
              <w:bottom w:val="single" w:color="CCCCCC" w:sz="1"/>
              <w:right w:val="single" w:color="CCCCCC" w:sz="1"/>
            </w:tcBorders>
            <w:shd w:fill="FFF3E6" w:val="clear"/>
            <w:tcMar>
              <w:top w:type="dxa" w:w="100"/>
              <w:left w:type="dxa" w:w="160"/>
              <w:bottom w:type="dxa" w:w="100"/>
              <w:right w:type="dxa" w:w="160"/>
            </w:tcMar>
          </w:tcPr>
          <w:p>
            <w:pPr>
              <w:jc w:val="right"/>
            </w:pPr>
            <w:r>
              <w:rPr>
                <w:rFonts w:ascii="Arial" w:cs="Arial" w:eastAsia="Arial" w:hAnsi="Arial"/>
                <w:b/>
                <w:bCs/>
                <w:color w:val="042C53"/>
                <w:sz w:val="22"/>
                <w:szCs w:val="22"/>
              </w:rPr>
              <w:t xml:space="preserve">$25,000</w:t>
            </w:r>
          </w:p>
        </w:tc>
      </w:tr>
      <w:tr>
        <w:tc>
          <w:tcPr>
            <w:tcW w:type="dxa" w:w="5760"/>
            <w:tcBorders>
              <w:top w:val="single" w:color="CCCCCC" w:sz="1"/>
              <w:left w:val="single" w:color="CCCCCC" w:sz="1"/>
              <w:bottom w:val="single" w:color="CCCCCC" w:sz="1"/>
              <w:right w:val="single" w:color="CCCCCC" w:sz="1"/>
            </w:tcBorders>
            <w:shd w:fill="E6F4EA" w:val="clear"/>
            <w:tcMar>
              <w:top w:type="dxa" w:w="100"/>
              <w:left w:type="dxa" w:w="160"/>
              <w:bottom w:type="dxa" w:w="100"/>
              <w:right w:type="dxa" w:w="160"/>
            </w:tcMar>
          </w:tcPr>
          <w:p>
            <w:r>
              <w:rPr>
                <w:rFonts w:ascii="Arial" w:cs="Arial" w:eastAsia="Arial" w:hAnsi="Arial"/>
                <w:color w:val="333333"/>
                <w:sz w:val="22"/>
                <w:szCs w:val="22"/>
              </w:rPr>
              <w:t xml:space="preserve">Recoverable</w:t>
            </w:r>
          </w:p>
        </w:tc>
        <w:tc>
          <w:tcPr>
            <w:tcW w:type="dxa" w:w="3600"/>
            <w:tcBorders>
              <w:top w:val="single" w:color="CCCCCC" w:sz="1"/>
              <w:left w:val="single" w:color="CCCCCC" w:sz="1"/>
              <w:bottom w:val="single" w:color="CCCCCC" w:sz="1"/>
              <w:right w:val="single" w:color="CCCCCC" w:sz="1"/>
            </w:tcBorders>
            <w:shd w:fill="E6F4EA" w:val="clear"/>
            <w:tcMar>
              <w:top w:type="dxa" w:w="100"/>
              <w:left w:type="dxa" w:w="160"/>
              <w:bottom w:type="dxa" w:w="100"/>
              <w:right w:type="dxa" w:w="160"/>
            </w:tcMar>
          </w:tcPr>
          <w:p>
            <w:pPr>
              <w:jc w:val="right"/>
            </w:pPr>
            <w:r>
              <w:rPr>
                <w:rFonts w:ascii="Arial" w:cs="Arial" w:eastAsia="Arial" w:hAnsi="Arial"/>
                <w:b/>
                <w:bCs/>
                <w:color w:val="042C53"/>
                <w:sz w:val="22"/>
                <w:szCs w:val="22"/>
              </w:rPr>
              <w:t xml:space="preserve">$821,230</w:t>
            </w:r>
          </w:p>
        </w:tc>
      </w:tr>
    </w:tbl>
    <w:p>
      <w:pPr>
        <w:spacing w:after="320" w:before="0"/>
      </w:pPr>
      <w:r>
        <w:t xml:space="preserve"/>
      </w:r>
    </w:p>
    <w:p>
      <w:pPr>
        <w:pStyle w:val="Heading2"/>
        <w:spacing w:after="160" w:before="360"/>
      </w:pPr>
      <w:r>
        <w:rPr>
          <w:rFonts w:ascii="Arial" w:cs="Arial" w:eastAsia="Arial" w:hAnsi="Arial"/>
          <w:b/>
          <w:bCs/>
          <w:color w:val="185FA5"/>
          <w:sz w:val="30"/>
          <w:szCs w:val="30"/>
        </w:rPr>
        <w:t xml:space="preserve">What was actually in there</w:t>
      </w:r>
    </w:p>
    <w:p>
      <w:pPr>
        <w:spacing w:after="220" w:before="0"/>
      </w:pPr>
      <w:r>
        <w:rPr>
          <w:rFonts w:ascii="Arial" w:cs="Arial" w:eastAsia="Arial" w:hAnsi="Arial"/>
          <w:color w:val="222222"/>
          <w:sz w:val="24"/>
          <w:szCs w:val="24"/>
        </w:rPr>
        <w:t xml:space="preserve">The $846,230 didn’t arrive all at once. It got there the way most revenue problems do — quietly, consistently, and over time — while everyone was busy doing their jobs.</w:t>
      </w:r>
    </w:p>
    <w:p>
      <w:pPr>
        <w:spacing w:after="1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00"/>
        <w:gridCol w:w="1440"/>
        <w:gridCol w:w="2880"/>
        <w:gridCol w:w="4140"/>
      </w:tblGrid>
      <w:tr>
        <w:tc>
          <w:tcPr>
            <w:tcW w:type="dxa" w:w="900"/>
            <w:tcBorders>
              <w:top w:val="single" w:color="CCCCCC" w:sz="1"/>
              <w:left w:val="single" w:color="CCCCCC" w:sz="1"/>
              <w:bottom w:val="single" w:color="CCCCCC" w:sz="1"/>
              <w:right w:val="single" w:color="CCCCCC" w:sz="1"/>
            </w:tcBorders>
            <w:shd w:fill="F0F0F0" w:val="clear"/>
            <w:tcMar>
              <w:top w:type="dxa" w:w="80"/>
              <w:left w:type="dxa" w:w="120"/>
              <w:bottom w:type="dxa" w:w="80"/>
              <w:right w:type="dxa" w:w="120"/>
            </w:tcMar>
          </w:tcPr>
          <w:p>
            <w:r>
              <w:rPr>
                <w:rFonts w:ascii="Arial" w:cs="Arial" w:eastAsia="Arial" w:hAnsi="Arial"/>
                <w:b/>
                <w:bCs/>
                <w:color w:val="555555"/>
                <w:sz w:val="20"/>
                <w:szCs w:val="20"/>
              </w:rPr>
              <w:t xml:space="preserve">%</w:t>
            </w:r>
          </w:p>
        </w:tc>
        <w:tc>
          <w:tcPr>
            <w:tcW w:type="dxa" w:w="1440"/>
            <w:tcBorders>
              <w:top w:val="single" w:color="CCCCCC" w:sz="1"/>
              <w:left w:val="single" w:color="CCCCCC" w:sz="1"/>
              <w:bottom w:val="single" w:color="CCCCCC" w:sz="1"/>
              <w:right w:val="single" w:color="CCCCCC" w:sz="1"/>
            </w:tcBorders>
            <w:shd w:fill="F0F0F0" w:val="clear"/>
            <w:tcMar>
              <w:top w:type="dxa" w:w="80"/>
              <w:left w:type="dxa" w:w="120"/>
              <w:bottom w:type="dxa" w:w="80"/>
              <w:right w:type="dxa" w:w="120"/>
            </w:tcMar>
          </w:tcPr>
          <w:p>
            <w:r>
              <w:rPr>
                <w:rFonts w:ascii="Arial" w:cs="Arial" w:eastAsia="Arial" w:hAnsi="Arial"/>
                <w:b/>
                <w:bCs/>
                <w:color w:val="555555"/>
                <w:sz w:val="20"/>
                <w:szCs w:val="20"/>
              </w:rPr>
              <w:t xml:space="preserve">Amount</w:t>
            </w:r>
          </w:p>
        </w:tc>
        <w:tc>
          <w:tcPr>
            <w:tcW w:type="dxa" w:w="2880"/>
            <w:tcBorders>
              <w:top w:val="single" w:color="CCCCCC" w:sz="1"/>
              <w:left w:val="single" w:color="CCCCCC" w:sz="1"/>
              <w:bottom w:val="single" w:color="CCCCCC" w:sz="1"/>
              <w:right w:val="single" w:color="CCCCCC" w:sz="1"/>
            </w:tcBorders>
            <w:shd w:fill="F0F0F0" w:val="clear"/>
            <w:tcMar>
              <w:top w:type="dxa" w:w="80"/>
              <w:left w:type="dxa" w:w="120"/>
              <w:bottom w:type="dxa" w:w="80"/>
              <w:right w:type="dxa" w:w="120"/>
            </w:tcMar>
          </w:tcPr>
          <w:p>
            <w:r>
              <w:rPr>
                <w:rFonts w:ascii="Arial" w:cs="Arial" w:eastAsia="Arial" w:hAnsi="Arial"/>
                <w:b/>
                <w:bCs/>
                <w:color w:val="555555"/>
                <w:sz w:val="20"/>
                <w:szCs w:val="20"/>
              </w:rPr>
              <w:t xml:space="preserve">Category</w:t>
            </w:r>
          </w:p>
        </w:tc>
        <w:tc>
          <w:tcPr>
            <w:tcW w:type="dxa" w:w="4140"/>
            <w:tcBorders>
              <w:top w:val="single" w:color="CCCCCC" w:sz="1"/>
              <w:left w:val="single" w:color="CCCCCC" w:sz="1"/>
              <w:bottom w:val="single" w:color="CCCCCC" w:sz="1"/>
              <w:right w:val="single" w:color="CCCCCC" w:sz="1"/>
            </w:tcBorders>
            <w:shd w:fill="F0F0F0" w:val="clear"/>
            <w:tcMar>
              <w:top w:type="dxa" w:w="80"/>
              <w:left w:type="dxa" w:w="120"/>
              <w:bottom w:type="dxa" w:w="80"/>
              <w:right w:type="dxa" w:w="120"/>
            </w:tcMar>
          </w:tcPr>
          <w:p>
            <w:r>
              <w:rPr>
                <w:rFonts w:ascii="Arial" w:cs="Arial" w:eastAsia="Arial" w:hAnsi="Arial"/>
                <w:b/>
                <w:bCs/>
                <w:color w:val="555555"/>
                <w:sz w:val="20"/>
                <w:szCs w:val="20"/>
              </w:rPr>
              <w:t xml:space="preserve">Root cause</w:t>
            </w:r>
          </w:p>
        </w:tc>
      </w:tr>
      <w:tr>
        <w:tc>
          <w:tcPr>
            <w:tcW w:type="dxa" w:w="9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color w:val="185FA5"/>
                <w:sz w:val="22"/>
                <w:szCs w:val="22"/>
              </w:rPr>
              <w:t xml:space="preserve">78%</w:t>
            </w:r>
          </w:p>
        </w:tc>
        <w:tc>
          <w:tcPr>
            <w:tcW w:type="dxa" w:w="14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222222"/>
                <w:sz w:val="22"/>
                <w:szCs w:val="22"/>
              </w:rPr>
              <w:t xml:space="preserve">$640,559</w:t>
            </w:r>
          </w:p>
        </w:tc>
        <w:tc>
          <w:tcPr>
            <w:tcW w:type="dxa" w:w="28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color w:val="222222"/>
                <w:sz w:val="22"/>
                <w:szCs w:val="22"/>
              </w:rPr>
              <w:t xml:space="preserve">The "His Friends Call Him Bobby" Problem</w:t>
            </w:r>
          </w:p>
        </w:tc>
        <w:tc>
          <w:tcPr>
            <w:tcW w:type="dxa" w:w="41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444444"/>
                <w:sz w:val="20"/>
                <w:szCs w:val="20"/>
              </w:rPr>
              <w:t xml:space="preserve">Demographics errors: nicknames, wrong DOB, incorrect subscriber #, payer ID, carrier address</w:t>
            </w:r>
          </w:p>
        </w:tc>
      </w:tr>
      <w:tr>
        <w:tc>
          <w:tcPr>
            <w:tcW w:type="dxa" w:w="9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color w:val="BA7517"/>
                <w:sz w:val="22"/>
                <w:szCs w:val="22"/>
              </w:rPr>
              <w:t xml:space="preserve">16%</w:t>
            </w:r>
          </w:p>
        </w:tc>
        <w:tc>
          <w:tcPr>
            <w:tcW w:type="dxa" w:w="14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222222"/>
                <w:sz w:val="22"/>
                <w:szCs w:val="22"/>
              </w:rPr>
              <w:t xml:space="preserve">$131,397</w:t>
            </w:r>
          </w:p>
        </w:tc>
        <w:tc>
          <w:tcPr>
            <w:tcW w:type="dxa" w:w="28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color w:val="222222"/>
                <w:sz w:val="22"/>
                <w:szCs w:val="22"/>
              </w:rPr>
              <w:t xml:space="preserve">"Close Enough" Documentation</w:t>
            </w:r>
          </w:p>
        </w:tc>
        <w:tc>
          <w:tcPr>
            <w:tcW w:type="dxa" w:w="41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444444"/>
                <w:sz w:val="20"/>
                <w:szCs w:val="20"/>
              </w:rPr>
              <w:t xml:space="preserve">Missing or incorrect attachments; claims that did not match the clinical note</w:t>
            </w:r>
          </w:p>
        </w:tc>
      </w:tr>
      <w:tr>
        <w:tc>
          <w:tcPr>
            <w:tcW w:type="dxa" w:w="9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color w:val="D85A30"/>
                <w:sz w:val="22"/>
                <w:szCs w:val="22"/>
              </w:rPr>
              <w:t xml:space="preserve">6%</w:t>
            </w:r>
          </w:p>
        </w:tc>
        <w:tc>
          <w:tcPr>
            <w:tcW w:type="dxa" w:w="14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222222"/>
                <w:sz w:val="22"/>
                <w:szCs w:val="22"/>
              </w:rPr>
              <w:t xml:space="preserve">$49,274</w:t>
            </w:r>
          </w:p>
        </w:tc>
        <w:tc>
          <w:tcPr>
            <w:tcW w:type="dxa" w:w="28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color w:val="222222"/>
                <w:sz w:val="22"/>
                <w:szCs w:val="22"/>
              </w:rPr>
              <w:t xml:space="preserve">The Out-of-Network Surprise</w:t>
            </w:r>
          </w:p>
        </w:tc>
        <w:tc>
          <w:tcPr>
            <w:tcW w:type="dxa" w:w="41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444444"/>
                <w:sz w:val="20"/>
                <w:szCs w:val="20"/>
              </w:rPr>
              <w:t xml:space="preserve">Patients with no OON benefits who refused to pay</w:t>
            </w:r>
          </w:p>
        </w:tc>
      </w:tr>
    </w:tbl>
    <w:p>
      <w:pPr>
        <w:spacing w:after="320" w:before="0"/>
      </w:pPr>
      <w:r>
        <w:t xml:space="preserve"/>
      </w:r>
    </w:p>
    <w:p>
      <w:pPr>
        <w:pStyle w:val="Heading2"/>
        <w:spacing w:after="160" w:before="360"/>
      </w:pPr>
      <w:r>
        <w:rPr>
          <w:rFonts w:ascii="Arial" w:cs="Arial" w:eastAsia="Arial" w:hAnsi="Arial"/>
          <w:b/>
          <w:bCs/>
          <w:color w:val="185FA5"/>
          <w:sz w:val="30"/>
          <w:szCs w:val="30"/>
        </w:rPr>
        <w:t xml:space="preserve">78% — $640,559 — The “His Friends Call Him Bobby” Problem</w:t>
      </w:r>
    </w:p>
    <w:p>
      <w:pPr>
        <w:spacing w:after="220" w:before="0"/>
      </w:pPr>
      <w:r>
        <w:rPr>
          <w:rFonts w:ascii="Arial" w:cs="Arial" w:eastAsia="Arial" w:hAnsi="Arial"/>
          <w:color w:val="222222"/>
          <w:sz w:val="24"/>
          <w:szCs w:val="24"/>
        </w:rPr>
        <w:t xml:space="preserve">Six hundred and forty thousand dollars. Sitting in AR. Because of nicknames, transposed dates of birth, wrong subscriber numbers, incorrect payer IDs, and carrier addresses that hadn’t been verified since the practice opened.</w:t>
      </w:r>
    </w:p>
    <w:p>
      <w:pPr>
        <w:spacing w:after="220" w:before="0"/>
      </w:pPr>
      <w:r>
        <w:rPr>
          <w:rFonts w:ascii="Arial" w:cs="Arial" w:eastAsia="Arial" w:hAnsi="Arial"/>
          <w:color w:val="222222"/>
          <w:sz w:val="24"/>
          <w:szCs w:val="24"/>
        </w:rPr>
        <w:t xml:space="preserve">Insurance carriers, it turns out, are not impressed by nicknames. They want the name on the card. The date of birth on the card. The ID number on the card. Every. Single. Time.</w:t>
      </w:r>
    </w:p>
    <w:p>
      <w:pPr>
        <w:spacing w:after="220" w:before="0"/>
      </w:pPr>
      <w:r>
        <w:rPr>
          <w:rFonts w:ascii="Arial" w:cs="Arial" w:eastAsia="Arial" w:hAnsi="Arial"/>
          <w:color w:val="222222"/>
          <w:sz w:val="24"/>
          <w:szCs w:val="24"/>
        </w:rPr>
        <w:t xml:space="preserve">This is financial control point number one in Revenue Protection Architecture — patient first contact — and it is where $640,559 of this practice’s revenue quietly disappeared. Not stolen. Not written off. Just sitting there, unprocessable, because the data entered at the front desk didn’t match what the insurance carrier had on file.</w:t>
      </w:r>
    </w:p>
    <w:p>
      <w:pPr>
        <w:spacing w:after="220" w:before="0"/>
      </w:pPr>
      <w:r>
        <w:rPr>
          <w:rFonts w:ascii="Arial" w:cs="Arial" w:eastAsia="Arial" w:hAnsi="Arial"/>
          <w:b/>
          <w:bCs/>
          <w:color w:val="222222"/>
          <w:sz w:val="24"/>
          <w:szCs w:val="24"/>
        </w:rPr>
        <w:t xml:space="preserve">The fix, in most cases? </w:t>
      </w:r>
      <w:r>
        <w:rPr>
          <w:rFonts w:ascii="Arial" w:cs="Arial" w:eastAsia="Arial" w:hAnsi="Arial"/>
          <w:color w:val="222222"/>
          <w:sz w:val="24"/>
          <w:szCs w:val="24"/>
        </w:rPr>
        <w:t xml:space="preserve">Remarkably simple. Verify demographics at every visit. Confirm the legal name. Confirm the date of birth. Confirm the insurance ID. It takes two minutes. It protects hundreds of thousands of dollars.</w:t>
      </w:r>
    </w:p>
    <w:p>
      <w:pPr>
        <w:pStyle w:val="Heading2"/>
        <w:spacing w:after="160" w:before="360"/>
      </w:pPr>
      <w:r>
        <w:rPr>
          <w:rFonts w:ascii="Arial" w:cs="Arial" w:eastAsia="Arial" w:hAnsi="Arial"/>
          <w:b/>
          <w:bCs/>
          <w:color w:val="185FA5"/>
          <w:sz w:val="30"/>
          <w:szCs w:val="30"/>
        </w:rPr>
        <w:t xml:space="preserve">16% — $131,397 — The “Close Enough” Documentation Problem</w:t>
      </w:r>
    </w:p>
    <w:p>
      <w:pPr>
        <w:spacing w:after="220" w:before="0"/>
      </w:pPr>
      <w:r>
        <w:rPr>
          <w:rFonts w:ascii="Arial" w:cs="Arial" w:eastAsia="Arial" w:hAnsi="Arial"/>
          <w:color w:val="222222"/>
          <w:sz w:val="24"/>
          <w:szCs w:val="24"/>
        </w:rPr>
        <w:t xml:space="preserve">$131,397 in claims had either missing attachments, incorrect attachments, or — the one that should keep every practice owner up at night — a claim that did not match the clinical note. The claim said one thing. The chart said another. Insurance companies notice this. Auditors notice this too.</w:t>
      </w:r>
    </w:p>
    <w:p>
      <w:pPr>
        <w:pBdr>
          <w:top w:val="none" w:color="FFFFFF" w:sz="0"/>
          <w:left w:val="single" w:color="185FA5" w:sz="18"/>
          <w:bottom w:val="none" w:color="FFFFFF" w:sz="0"/>
          <w:right w:val="none" w:color="FFFFFF" w:sz="0"/>
        </w:pBdr>
        <w:shd w:fill="EBF3FB" w:val="clear"/>
        <w:spacing w:after="320" w:before="280"/>
        <w:ind w:left="360"/>
      </w:pPr>
      <w:r>
        <w:rPr>
          <w:rFonts w:ascii="Arial" w:cs="Arial" w:eastAsia="Arial" w:hAnsi="Arial"/>
          <w:i/>
          <w:iCs/>
          <w:color w:val="185FA5"/>
          <w:sz w:val="26"/>
          <w:szCs w:val="26"/>
        </w:rPr>
        <w:t xml:space="preserve">“Close enough” is not a billing strategy. It is an audit waiting to happen.</w:t>
      </w:r>
    </w:p>
    <w:p>
      <w:pPr>
        <w:pStyle w:val="Heading2"/>
        <w:spacing w:after="160" w:before="360"/>
      </w:pPr>
      <w:r>
        <w:rPr>
          <w:rFonts w:ascii="Arial" w:cs="Arial" w:eastAsia="Arial" w:hAnsi="Arial"/>
          <w:b/>
          <w:bCs/>
          <w:color w:val="185FA5"/>
          <w:sz w:val="30"/>
          <w:szCs w:val="30"/>
        </w:rPr>
        <w:t xml:space="preserve">6% — $49,274 — The Out-of-Network Surprise Nobody Mentioned</w:t>
      </w:r>
    </w:p>
    <w:p>
      <w:pPr>
        <w:spacing w:after="220" w:before="0"/>
      </w:pPr>
      <w:r>
        <w:rPr>
          <w:rFonts w:ascii="Arial" w:cs="Arial" w:eastAsia="Arial" w:hAnsi="Arial"/>
          <w:color w:val="222222"/>
          <w:sz w:val="24"/>
          <w:szCs w:val="24"/>
        </w:rPr>
        <w:t xml:space="preserve">$49,274 belonged to patients who had a plan with no out-of-network benefits. The treatment was provided. The claims were submitted. The insurance company said, politely but firmly, no. And then the patients — who perhaps did not recall signing a financial agreement — declined to pay as well. This is what happens when insurance verification is skipped. A clinical appointment becomes a very expensive, very awkward conversation.</w:t>
      </w:r>
    </w:p>
    <w:p>
      <w:pPr>
        <w:pStyle w:val="Heading2"/>
        <w:spacing w:after="160" w:before="360"/>
      </w:pPr>
      <w:r>
        <w:rPr>
          <w:rFonts w:ascii="Arial" w:cs="Arial" w:eastAsia="Arial" w:hAnsi="Arial"/>
          <w:b/>
          <w:bCs/>
          <w:color w:val="185FA5"/>
          <w:sz w:val="30"/>
          <w:szCs w:val="30"/>
        </w:rPr>
        <w:t xml:space="preserve">The part that scares me most</w:t>
      </w:r>
    </w:p>
    <w:p>
      <w:pPr>
        <w:spacing w:after="220" w:before="0"/>
      </w:pPr>
      <w:r>
        <w:rPr>
          <w:rFonts w:ascii="Arial" w:cs="Arial" w:eastAsia="Arial" w:hAnsi="Arial"/>
          <w:color w:val="222222"/>
          <w:sz w:val="24"/>
          <w:szCs w:val="24"/>
        </w:rPr>
        <w:t xml:space="preserve">The doctor had no idea any of this was happening.</w:t>
      </w:r>
    </w:p>
    <w:p>
      <w:pPr>
        <w:spacing w:after="220" w:before="0"/>
      </w:pPr>
      <w:r>
        <w:rPr>
          <w:rFonts w:ascii="Arial" w:cs="Arial" w:eastAsia="Arial" w:hAnsi="Arial"/>
          <w:color w:val="222222"/>
          <w:sz w:val="24"/>
          <w:szCs w:val="24"/>
        </w:rPr>
        <w:t xml:space="preserve">And why would he? He spent years — and a small fortune — mastering dentistry. He is exceptional at what he does clinically. So, like most practice owners, he did the reasonable thing: he hired an experienced office manager and trusted her to handle the administrative side of the practice.</w:t>
      </w:r>
    </w:p>
    <w:p>
      <w:pPr>
        <w:spacing w:after="220" w:before="0"/>
      </w:pPr>
      <w:r>
        <w:rPr>
          <w:rFonts w:ascii="Arial" w:cs="Arial" w:eastAsia="Arial" w:hAnsi="Arial"/>
          <w:color w:val="222222"/>
          <w:sz w:val="24"/>
          <w:szCs w:val="24"/>
        </w:rPr>
        <w:t xml:space="preserve">Here is what no one tells you in dental school: experience is not the same as correct. It is not the same as compliant. And it is absolutely not the same as defensible. Someone can do something the wrong way for fifteen years with tremendous confidence and zero malicious intent — and the result is still $846,230 in aging that nobody can fully explain on a Tuesday morning.</w:t>
      </w:r>
    </w:p>
    <w:p>
      <w:pPr>
        <w:pBdr>
          <w:top w:val="none" w:color="FFFFFF" w:sz="0"/>
          <w:left w:val="single" w:color="185FA5" w:sz="18"/>
          <w:bottom w:val="none" w:color="FFFFFF" w:sz="0"/>
          <w:right w:val="none" w:color="FFFFFF" w:sz="0"/>
        </w:pBdr>
        <w:shd w:fill="EBF3FB" w:val="clear"/>
        <w:spacing w:after="320" w:before="280"/>
        <w:ind w:left="360"/>
      </w:pPr>
      <w:r>
        <w:rPr>
          <w:rFonts w:ascii="Arial" w:cs="Arial" w:eastAsia="Arial" w:hAnsi="Arial"/>
          <w:i/>
          <w:iCs/>
          <w:color w:val="185FA5"/>
          <w:sz w:val="26"/>
          <w:szCs w:val="26"/>
        </w:rPr>
        <w:t xml:space="preserve">“Experience does not equate to right. It does not equate to legal. And it does not equate to defensible.”</w:t>
      </w:r>
    </w:p>
    <w:p>
      <w:pPr>
        <w:pStyle w:val="Heading2"/>
        <w:spacing w:after="160" w:before="360"/>
      </w:pPr>
      <w:r>
        <w:rPr>
          <w:rFonts w:ascii="Arial" w:cs="Arial" w:eastAsia="Arial" w:hAnsi="Arial"/>
          <w:b/>
          <w:bCs/>
          <w:color w:val="185FA5"/>
          <w:sz w:val="30"/>
          <w:szCs w:val="30"/>
        </w:rPr>
        <w:t xml:space="preserve">What changed</w:t>
      </w:r>
    </w:p>
    <w:p>
      <w:pPr>
        <w:spacing w:after="220" w:before="0"/>
      </w:pPr>
      <w:r>
        <w:rPr>
          <w:rFonts w:ascii="Arial" w:cs="Arial" w:eastAsia="Arial" w:hAnsi="Arial"/>
          <w:color w:val="222222"/>
          <w:sz w:val="24"/>
          <w:szCs w:val="24"/>
        </w:rPr>
        <w:t xml:space="preserve">Once the categories of loss were identified, there was a roadmap. The recoverable portion was collected. The $25,000 that was over three years old was written off properly. Policies were put in place. Every financial control point was established and verified. And the owner now reviews his AR every single week — not because he doesn’t trust his team, but because he is the owner. And owners who are engaged are the last line of defense between a thriving practice and a Tuesday morning phone call.</w:t>
      </w:r>
    </w:p>
    <w:p>
      <w:pPr>
        <w:pBdr>
          <w:bottom w:val="single" w:color="DDDDDD" w:sz="4"/>
        </w:pBdr>
        <w:spacing w:after="0" w:before="240"/>
      </w:pPr>
      <w:r>
        <w:t xml:space="preserve"/>
      </w:r>
    </w:p>
    <w:p>
      <w:pPr>
        <w:spacing w:after="200" w:before="0"/>
      </w:pPr>
      <w:r>
        <w:t xml:space="preserve"/>
      </w:r>
    </w:p>
    <w:p>
      <w:pPr>
        <w:spacing w:after="160" w:before="0"/>
      </w:pPr>
      <w:r>
        <w:rPr>
          <w:rFonts w:ascii="Arial" w:cs="Arial" w:eastAsia="Arial" w:hAnsi="Arial"/>
          <w:b/>
          <w:bCs/>
          <w:color w:val="185FA5"/>
          <w:spacing w:val="80"/>
          <w:sz w:val="18"/>
          <w:szCs w:val="18"/>
        </w:rPr>
        <w:t xml:space="preserve">WHAT THIS CASE ILLUSTRATES</w:t>
      </w:r>
    </w:p>
    <w:p>
      <w:pPr>
        <w:pStyle w:val="ListParagraph"/>
        <w:numPr>
          <w:ilvl w:val="0"/>
          <w:numId w:val="2"/>
        </w:numPr>
        <w:spacing w:after="60" w:before="60"/>
      </w:pPr>
      <w:r>
        <w:rPr>
          <w:rFonts w:ascii="Arial" w:cs="Arial" w:eastAsia="Arial" w:hAnsi="Arial"/>
          <w:color w:val="444444"/>
          <w:sz w:val="22"/>
          <w:szCs w:val="22"/>
        </w:rPr>
        <w:t xml:space="preserve">Incorrect patient demographics at first contact is the single largest source of preventable AR loss</w:t>
      </w:r>
    </w:p>
    <w:p>
      <w:pPr>
        <w:pStyle w:val="ListParagraph"/>
        <w:numPr>
          <w:ilvl w:val="0"/>
          <w:numId w:val="2"/>
        </w:numPr>
        <w:spacing w:after="60" w:before="60"/>
      </w:pPr>
      <w:r>
        <w:rPr>
          <w:rFonts w:ascii="Arial" w:cs="Arial" w:eastAsia="Arial" w:hAnsi="Arial"/>
          <w:color w:val="444444"/>
          <w:sz w:val="22"/>
          <w:szCs w:val="22"/>
        </w:rPr>
        <w:t xml:space="preserve">Insurance verification is a financial control point, not an administrative courtesy</w:t>
      </w:r>
    </w:p>
    <w:p>
      <w:pPr>
        <w:pStyle w:val="ListParagraph"/>
        <w:numPr>
          <w:ilvl w:val="0"/>
          <w:numId w:val="2"/>
        </w:numPr>
        <w:spacing w:after="60" w:before="60"/>
      </w:pPr>
      <w:r>
        <w:rPr>
          <w:rFonts w:ascii="Arial" w:cs="Arial" w:eastAsia="Arial" w:hAnsi="Arial"/>
          <w:color w:val="444444"/>
          <w:sz w:val="22"/>
          <w:szCs w:val="22"/>
        </w:rPr>
        <w:t xml:space="preserve">Documentation must match the claim — every time, without exception</w:t>
      </w:r>
    </w:p>
    <w:p>
      <w:pPr>
        <w:pStyle w:val="ListParagraph"/>
        <w:numPr>
          <w:ilvl w:val="0"/>
          <w:numId w:val="2"/>
        </w:numPr>
        <w:spacing w:after="60" w:before="60"/>
      </w:pPr>
      <w:r>
        <w:rPr>
          <w:rFonts w:ascii="Arial" w:cs="Arial" w:eastAsia="Arial" w:hAnsi="Arial"/>
          <w:color w:val="444444"/>
          <w:sz w:val="22"/>
          <w:szCs w:val="22"/>
        </w:rPr>
        <w:t xml:space="preserve">Owner oversight is the final — and most critical — control point in the entire framework</w:t>
      </w:r>
    </w:p>
    <w:p>
      <w:pPr>
        <w:pBdr>
          <w:bottom w:val="single" w:color="DDDDDD" w:sz="4"/>
        </w:pBdr>
        <w:spacing w:after="0" w:before="400"/>
      </w:pPr>
      <w:r>
        <w:t xml:space="preserve"/>
      </w:r>
    </w:p>
    <w:p>
      <w:pPr>
        <w:spacing w:after="160" w:before="0"/>
      </w:pPr>
      <w:r>
        <w:t xml:space="preserve"/>
      </w:r>
    </w:p>
    <w:p>
      <w:r>
        <w:rPr>
          <w:rFonts w:ascii="Arial" w:cs="Arial" w:eastAsia="Arial" w:hAnsi="Arial"/>
          <w:b/>
          <w:bCs/>
          <w:color w:val="222222"/>
          <w:sz w:val="24"/>
          <w:szCs w:val="24"/>
        </w:rPr>
        <w:t xml:space="preserve">Michelle</w:t>
      </w:r>
      <w:r>
        <w:rPr>
          <w:rFonts w:ascii="Arial" w:cs="Arial" w:eastAsia="Arial" w:hAnsi="Arial"/>
          <w:color w:val="888888"/>
          <w:sz w:val="20"/>
          <w:szCs w:val="20"/>
        </w:rPr>
        <w:t xml:space="preserve">  |  Keynote Speaker · Creator of Revenue Protection Architecture · 36 Years in Dental Revenue</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222222"/>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0"/>
      <w:outlineLvl w:val="0"/>
    </w:pPr>
    <w:rPr>
      <w:rFonts w:ascii="Arial" w:cs="Arial" w:eastAsia="Arial" w:hAnsi="Arial"/>
      <w:b/>
      <w:bCs/>
      <w:color w:val="042C53"/>
      <w:sz w:val="44"/>
      <w:szCs w:val="44"/>
    </w:rPr>
  </w:style>
  <w:style w:type="paragraph" w:styleId="Heading2">
    <w:name w:val="Heading 2"/>
    <w:basedOn w:val="Normal"/>
    <w:next w:val="Normal"/>
    <w:qFormat/>
    <w:pPr>
      <w:spacing w:after="160" w:before="320"/>
      <w:outlineLvl w:val="1"/>
    </w:pPr>
    <w:rPr>
      <w:rFonts w:ascii="Arial" w:cs="Arial" w:eastAsia="Arial" w:hAnsi="Arial"/>
      <w:b/>
      <w:bCs/>
      <w:color w:val="185FA5"/>
      <w:sz w:val="30"/>
      <w:szCs w:val="3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2026-05-20T08:55:25.390Z</dcterms:created>
  <dcterms:modified xsi:type="dcterms:W3CDTF">2026-05-20T08:55:25.413Z</dcterms:modified>
</cp:coreProperties>
</file>

<file path=docProps/custom.xml><?xml version="1.0" encoding="utf-8"?>
<Properties xmlns="http://schemas.openxmlformats.org/officeDocument/2006/custom-properties" xmlns:vt="http://schemas.openxmlformats.org/officeDocument/2006/docPropsVTypes"/>
</file>