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0"/>
      </w:pPr>
      <w:r>
        <w:rPr>
          <w:rFonts w:ascii="Arial" w:cs="Arial" w:eastAsia="Arial" w:hAnsi="Arial"/>
          <w:b/>
          <w:bCs/>
          <w:color w:val="185FA5"/>
          <w:spacing w:val="80"/>
          <w:sz w:val="18"/>
          <w:szCs w:val="18"/>
        </w:rPr>
        <w:t xml:space="preserve">CASE STUDY #3</w:t>
      </w:r>
    </w:p>
    <w:p>
      <w:pPr>
        <w:pStyle w:val="Heading1"/>
      </w:pPr>
      <w:r>
        <w:rPr>
          <w:rFonts w:ascii="Arial" w:cs="Arial" w:eastAsia="Arial" w:hAnsi="Arial"/>
          <w:b/>
          <w:bCs/>
          <w:color w:val="042C53"/>
          <w:sz w:val="40"/>
          <w:szCs w:val="40"/>
        </w:rPr>
        <w:t xml:space="preserve">The Frustrated Office Manager — and the Case That Started Everything</w:t>
      </w:r>
    </w:p>
    <w:p>
      <w:pPr>
        <w:spacing w:after="160" w:before="0"/>
      </w:pPr>
      <w:r>
        <w:rPr>
          <w:rFonts w:ascii="Arial" w:cs="Arial" w:eastAsia="Arial" w:hAnsi="Arial"/>
          <w:i/>
          <w:iCs/>
          <w:color w:val="555555"/>
          <w:sz w:val="24"/>
          <w:szCs w:val="24"/>
        </w:rPr>
        <w:t xml:space="preserve">This is the case study I think about most. Not because the numbers were the largest — they weren’t. Not because the fraud was the most sophisticated — it wasn’t. But because this case is the reason Revenue Protection Architecture exists.</w:t>
      </w:r>
    </w:p>
    <w:p>
      <w:pPr>
        <w:pBdr>
          <w:bottom w:val="single" w:color="DDDDDD" w:sz="4"/>
        </w:pBdr>
        <w:spacing w:after="400" w:before="0"/>
      </w:pPr>
      <w:r>
        <w:rPr>
          <w:rFonts w:ascii="Arial" w:cs="Arial" w:eastAsia="Arial" w:hAnsi="Arial"/>
          <w:b/>
          <w:bCs/>
          <w:i/>
          <w:iCs/>
          <w:color w:val="555555"/>
          <w:sz w:val="24"/>
          <w:szCs w:val="24"/>
        </w:rPr>
        <w:t xml:space="preserve">Let that sit for a moment.</w:t>
      </w:r>
    </w:p>
    <w:p>
      <w:pPr>
        <w:pStyle w:val="Heading2"/>
        <w:spacing w:after="160" w:before="360"/>
      </w:pPr>
      <w:r>
        <w:rPr>
          <w:rFonts w:ascii="Arial" w:cs="Arial" w:eastAsia="Arial" w:hAnsi="Arial"/>
          <w:b/>
          <w:bCs/>
          <w:color w:val="185FA5"/>
          <w:sz w:val="30"/>
          <w:szCs w:val="30"/>
        </w:rPr>
        <w:t xml:space="preserve">The setup</w:t>
      </w:r>
    </w:p>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5160"/>
      </w:tblGrid>
      <w:tr>
        <w:tc>
          <w:tcPr>
            <w:tcW w:type="dxa" w:w="4200"/>
            <w:tcBorders>
              <w:top w:val="single" w:color="CCCCCC" w:sz="1"/>
              <w:left w:val="single" w:color="CCCCCC" w:sz="1"/>
              <w:bottom w:val="single" w:color="CCCCCC" w:sz="1"/>
              <w:right w:val="single" w:color="CCCCCC" w:sz="1"/>
            </w:tcBorders>
            <w:shd w:fill="EBF3FB" w:val="clear"/>
            <w:tcMar>
              <w:top w:type="dxa" w:w="100"/>
              <w:left w:type="dxa" w:w="160"/>
              <w:bottom w:type="dxa" w:w="100"/>
              <w:right w:type="dxa" w:w="160"/>
            </w:tcMar>
          </w:tcPr>
          <w:p>
            <w:r>
              <w:rPr>
                <w:rFonts w:ascii="Arial" w:cs="Arial" w:eastAsia="Arial" w:hAnsi="Arial"/>
                <w:color w:val="333333"/>
                <w:sz w:val="22"/>
                <w:szCs w:val="22"/>
              </w:rPr>
              <w:t xml:space="preserve">Insurance carrier participation</w:t>
            </w:r>
          </w:p>
        </w:tc>
        <w:tc>
          <w:tcPr>
            <w:tcW w:type="dxa" w:w="5160"/>
            <w:tcBorders>
              <w:top w:val="single" w:color="CCCCCC" w:sz="1"/>
              <w:left w:val="single" w:color="CCCCCC" w:sz="1"/>
              <w:bottom w:val="single" w:color="CCCCCC" w:sz="1"/>
              <w:right w:val="single" w:color="CCCCCC" w:sz="1"/>
            </w:tcBorders>
            <w:shd w:fill="EBF3FB" w:val="clear"/>
            <w:tcMar>
              <w:top w:type="dxa" w:w="100"/>
              <w:left w:type="dxa" w:w="160"/>
              <w:bottom w:type="dxa" w:w="100"/>
              <w:right w:type="dxa" w:w="160"/>
            </w:tcMar>
          </w:tcPr>
          <w:p>
            <w:r>
              <w:rPr>
                <w:rFonts w:ascii="Arial" w:cs="Arial" w:eastAsia="Arial" w:hAnsi="Arial"/>
                <w:b/>
                <w:bCs/>
                <w:color w:val="042C53"/>
                <w:sz w:val="22"/>
                <w:szCs w:val="22"/>
              </w:rPr>
              <w:t xml:space="preserve">Delta Dental only</w:t>
            </w:r>
          </w:p>
        </w:tc>
      </w:tr>
      <w:tr>
        <w:tc>
          <w:tcPr>
            <w:tcW w:type="dxa" w:w="4200"/>
            <w:tcBorders>
              <w:top w:val="single" w:color="CCCCCC" w:sz="1"/>
              <w:left w:val="single" w:color="CCCCCC" w:sz="1"/>
              <w:bottom w:val="single" w:color="CCCCCC" w:sz="1"/>
              <w:right w:val="single" w:color="CCCCCC" w:sz="1"/>
            </w:tcBorders>
            <w:shd w:fill="FFF3E6" w:val="clear"/>
            <w:tcMar>
              <w:top w:type="dxa" w:w="100"/>
              <w:left w:type="dxa" w:w="160"/>
              <w:bottom w:type="dxa" w:w="100"/>
              <w:right w:type="dxa" w:w="160"/>
            </w:tcMar>
          </w:tcPr>
          <w:p>
            <w:r>
              <w:rPr>
                <w:rFonts w:ascii="Arial" w:cs="Arial" w:eastAsia="Arial" w:hAnsi="Arial"/>
                <w:color w:val="333333"/>
                <w:sz w:val="22"/>
                <w:szCs w:val="22"/>
              </w:rPr>
              <w:t xml:space="preserve">Total adjustments identified</w:t>
            </w:r>
          </w:p>
        </w:tc>
        <w:tc>
          <w:tcPr>
            <w:tcW w:type="dxa" w:w="5160"/>
            <w:tcBorders>
              <w:top w:val="single" w:color="CCCCCC" w:sz="1"/>
              <w:left w:val="single" w:color="CCCCCC" w:sz="1"/>
              <w:bottom w:val="single" w:color="CCCCCC" w:sz="1"/>
              <w:right w:val="single" w:color="CCCCCC" w:sz="1"/>
            </w:tcBorders>
            <w:shd w:fill="FFF3E6" w:val="clear"/>
            <w:tcMar>
              <w:top w:type="dxa" w:w="100"/>
              <w:left w:type="dxa" w:w="160"/>
              <w:bottom w:type="dxa" w:w="100"/>
              <w:right w:type="dxa" w:w="160"/>
            </w:tcMar>
          </w:tcPr>
          <w:p>
            <w:r>
              <w:rPr>
                <w:rFonts w:ascii="Arial" w:cs="Arial" w:eastAsia="Arial" w:hAnsi="Arial"/>
                <w:b/>
                <w:bCs/>
                <w:color w:val="042C53"/>
                <w:sz w:val="22"/>
                <w:szCs w:val="22"/>
              </w:rPr>
              <w:t xml:space="preserve">$6,700</w:t>
            </w:r>
          </w:p>
        </w:tc>
      </w:tr>
      <w:tr>
        <w:tc>
          <w:tcPr>
            <w:tcW w:type="dxa" w:w="42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color w:val="333333"/>
                <w:sz w:val="22"/>
                <w:szCs w:val="22"/>
              </w:rPr>
              <w:t xml:space="preserve">Types of discounts applied</w:t>
            </w:r>
          </w:p>
        </w:tc>
        <w:tc>
          <w:tcPr>
            <w:tcW w:type="dxa" w:w="51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color w:val="042C53"/>
                <w:sz w:val="22"/>
                <w:szCs w:val="22"/>
              </w:rPr>
              <w:t xml:space="preserve">Co-pay waivers, courtesy discounts, family/friend reductions, ad hoc patient requests</w:t>
            </w:r>
          </w:p>
        </w:tc>
      </w:tr>
      <w:tr>
        <w:tc>
          <w:tcPr>
            <w:tcW w:type="dxa" w:w="420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color w:val="333333"/>
                <w:sz w:val="22"/>
                <w:szCs w:val="22"/>
              </w:rPr>
              <w:t xml:space="preserve">Claim form disclosure</w:t>
            </w:r>
          </w:p>
        </w:tc>
        <w:tc>
          <w:tcPr>
            <w:tcW w:type="dxa" w:w="5160"/>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60"/>
            </w:tcMar>
          </w:tcPr>
          <w:p>
            <w:r>
              <w:rPr>
                <w:rFonts w:ascii="Arial" w:cs="Arial" w:eastAsia="Arial" w:hAnsi="Arial"/>
                <w:b/>
                <w:bCs/>
                <w:color w:val="042C53"/>
                <w:sz w:val="22"/>
                <w:szCs w:val="22"/>
              </w:rPr>
              <w:t xml:space="preserve">None</w:t>
            </w:r>
          </w:p>
        </w:tc>
      </w:tr>
      <w:tr>
        <w:tc>
          <w:tcPr>
            <w:tcW w:type="dxa" w:w="4200"/>
            <w:tcBorders>
              <w:top w:val="single" w:color="CCCCCC" w:sz="1"/>
              <w:left w:val="single" w:color="CCCCCC" w:sz="1"/>
              <w:bottom w:val="single" w:color="CCCCCC" w:sz="1"/>
              <w:right w:val="single" w:color="CCCCCC" w:sz="1"/>
            </w:tcBorders>
            <w:shd w:fill="FDECEA" w:val="clear"/>
            <w:tcMar>
              <w:top w:type="dxa" w:w="100"/>
              <w:left w:type="dxa" w:w="160"/>
              <w:bottom w:type="dxa" w:w="100"/>
              <w:right w:type="dxa" w:w="160"/>
            </w:tcMar>
          </w:tcPr>
          <w:p>
            <w:r>
              <w:rPr>
                <w:rFonts w:ascii="Arial" w:cs="Arial" w:eastAsia="Arial" w:hAnsi="Arial"/>
                <w:color w:val="333333"/>
                <w:sz w:val="22"/>
                <w:szCs w:val="22"/>
              </w:rPr>
              <w:t xml:space="preserve">Legal classification</w:t>
            </w:r>
          </w:p>
        </w:tc>
        <w:tc>
          <w:tcPr>
            <w:tcW w:type="dxa" w:w="5160"/>
            <w:tcBorders>
              <w:top w:val="single" w:color="CCCCCC" w:sz="1"/>
              <w:left w:val="single" w:color="CCCCCC" w:sz="1"/>
              <w:bottom w:val="single" w:color="CCCCCC" w:sz="1"/>
              <w:right w:val="single" w:color="CCCCCC" w:sz="1"/>
            </w:tcBorders>
            <w:shd w:fill="FDECEA" w:val="clear"/>
            <w:tcMar>
              <w:top w:type="dxa" w:w="100"/>
              <w:left w:type="dxa" w:w="160"/>
              <w:bottom w:type="dxa" w:w="100"/>
              <w:right w:type="dxa" w:w="160"/>
            </w:tcMar>
          </w:tcPr>
          <w:p>
            <w:r>
              <w:rPr>
                <w:rFonts w:ascii="Arial" w:cs="Arial" w:eastAsia="Arial" w:hAnsi="Arial"/>
                <w:b/>
                <w:bCs/>
                <w:color w:val="042C53"/>
                <w:sz w:val="22"/>
                <w:szCs w:val="22"/>
              </w:rPr>
              <w:t xml:space="preserve">Insurance fraud</w:t>
            </w:r>
          </w:p>
        </w:tc>
      </w:tr>
    </w:tbl>
    <w:p>
      <w:pPr>
        <w:spacing w:after="280" w:before="0"/>
      </w:pPr>
      <w:r>
        <w:t xml:space="preserve"/>
      </w:r>
    </w:p>
    <w:p>
      <w:pPr>
        <w:spacing w:after="220" w:before="0"/>
      </w:pPr>
      <w:r>
        <w:rPr>
          <w:rFonts w:ascii="Arial" w:cs="Arial" w:eastAsia="Arial" w:hAnsi="Arial"/>
          <w:color w:val="222222"/>
          <w:sz w:val="24"/>
          <w:szCs w:val="24"/>
        </w:rPr>
        <w:t xml:space="preserve">The office manager was stressed beyond belief. Not because she didn’t know what she was doing. Because she did. She knew the rules. She knew what was right, what was wrong, and what was defensible. She came to work every day with that knowledge — and spent every day watching it be overridden by a doctor with a simple philosophy:</w:t>
      </w:r>
    </w:p>
    <w:p>
      <w:pPr>
        <w:spacing w:after="240" w:before="120"/>
        <w:ind w:left="480"/>
      </w:pPr>
      <w:r>
        <w:rPr>
          <w:rFonts w:ascii="Arial" w:cs="Arial" w:eastAsia="Arial" w:hAnsi="Arial"/>
          <w:b/>
          <w:bCs/>
          <w:i/>
          <w:iCs/>
          <w:color w:val="185FA5"/>
          <w:sz w:val="24"/>
          <w:szCs w:val="24"/>
        </w:rPr>
        <w:t xml:space="preserve">“This is my office. My rules.”</w:t>
      </w:r>
    </w:p>
    <w:p>
      <w:pPr>
        <w:spacing w:after="220" w:before="0"/>
      </w:pPr>
      <w:r>
        <w:rPr>
          <w:rFonts w:ascii="Arial" w:cs="Arial" w:eastAsia="Arial" w:hAnsi="Arial"/>
          <w:color w:val="222222"/>
          <w:sz w:val="24"/>
          <w:szCs w:val="24"/>
        </w:rPr>
        <w:t xml:space="preserve">The patients had learned quickly. If the bill felt too high, skip the front desk. Go directly to the doctor. He would offer a discount. So they did. Every time. And every time, another adjustment hit the books — a co-pay waived here, a courtesy discount there, a fee reduction for a friend, a family member, a patient who simply asked nicely.</w:t>
      </w:r>
    </w:p>
    <w:p>
      <w:pPr>
        <w:spacing w:after="220" w:before="0"/>
      </w:pPr>
      <w:r>
        <w:rPr>
          <w:rFonts w:ascii="Arial" w:cs="Arial" w:eastAsia="Arial" w:hAnsi="Arial"/>
          <w:color w:val="222222"/>
          <w:sz w:val="24"/>
          <w:szCs w:val="24"/>
        </w:rPr>
        <w:t xml:space="preserve">$6,700 in adjustments. All of it traceable to the doctor’s generosity. None of it defensible.</w:t>
      </w:r>
    </w:p>
    <w:p>
      <w:pPr>
        <w:pStyle w:val="Heading2"/>
        <w:spacing w:after="160" w:before="360"/>
      </w:pPr>
      <w:r>
        <w:rPr>
          <w:rFonts w:ascii="Arial" w:cs="Arial" w:eastAsia="Arial" w:hAnsi="Arial"/>
          <w:b/>
          <w:bCs/>
          <w:color w:val="185FA5"/>
          <w:sz w:val="30"/>
          <w:szCs w:val="30"/>
        </w:rPr>
        <w:t xml:space="preserve">What dental school did not teach him</w:t>
      </w:r>
    </w:p>
    <w:p>
      <w:pPr>
        <w:spacing w:after="220" w:before="0"/>
      </w:pPr>
      <w:r>
        <w:rPr>
          <w:rFonts w:ascii="Arial" w:cs="Arial" w:eastAsia="Arial" w:hAnsi="Arial"/>
          <w:color w:val="222222"/>
          <w:sz w:val="24"/>
          <w:szCs w:val="24"/>
        </w:rPr>
        <w:t xml:space="preserve">The doctor believed this was his office and his money, and he could do with it as he pleased. That belief, while understandable, is incorrect — and expensive.</w:t>
      </w:r>
    </w:p>
    <w:p>
      <w:pPr>
        <w:spacing w:after="220" w:before="0"/>
      </w:pPr>
      <w:r>
        <w:rPr>
          <w:rFonts w:ascii="Arial" w:cs="Arial" w:eastAsia="Arial" w:hAnsi="Arial"/>
          <w:color w:val="222222"/>
          <w:sz w:val="24"/>
          <w:szCs w:val="24"/>
        </w:rPr>
        <w:t xml:space="preserve">Here is what dental school does not teach: when a practice participates with an insurance carrier, it enters into a contract. That contract governs fees. It also governs what can and cannot be waived. Routinely waiving patient co-pays and cost-sharing amounts is not a kindness. It is a misrepresentation on the claim form. The claim says the patient owed their portion. The adjustment says they didn’t pay it. The insurance carrier paid based on a fee structure that assumed the patient would contribute their share.</w:t>
      </w:r>
    </w:p>
    <w:p>
      <w:pPr>
        <w:spacing w:after="220" w:before="0"/>
      </w:pPr>
      <w:r>
        <w:rPr>
          <w:rFonts w:ascii="Arial" w:cs="Arial" w:eastAsia="Arial" w:hAnsi="Arial"/>
          <w:b/>
          <w:bCs/>
          <w:color w:val="222222"/>
          <w:sz w:val="24"/>
          <w:szCs w:val="24"/>
        </w:rPr>
        <w:t xml:space="preserve">When they don’t — and when the practice absorbs that without disclosing it — that is fraud.</w:t>
      </w:r>
    </w:p>
    <w:p>
      <w:pPr>
        <w:spacing w:after="220" w:before="0"/>
      </w:pPr>
      <w:r>
        <w:rPr>
          <w:rFonts w:ascii="Arial" w:cs="Arial" w:eastAsia="Arial" w:hAnsi="Arial"/>
          <w:color w:val="222222"/>
          <w:sz w:val="24"/>
          <w:szCs w:val="24"/>
        </w:rPr>
        <w:t xml:space="preserve">Not aggressive billing. Not a gray area. Fraud.</w:t>
      </w:r>
    </w:p>
    <w:p>
      <w:pPr>
        <w:pBdr>
          <w:top w:val="none" w:color="FFFFFF" w:sz="0"/>
          <w:left w:val="single" w:color="185FA5" w:sz="18"/>
          <w:bottom w:val="none" w:color="FFFFFF" w:sz="0"/>
          <w:right w:val="none" w:color="FFFFFF" w:sz="0"/>
        </w:pBdr>
        <w:shd w:fill="EBF3FB" w:val="clear"/>
        <w:spacing w:after="320" w:before="280"/>
        <w:ind w:left="360"/>
      </w:pPr>
      <w:r>
        <w:rPr>
          <w:rFonts w:ascii="Arial" w:cs="Arial" w:eastAsia="Arial" w:hAnsi="Arial"/>
          <w:i/>
          <w:iCs/>
          <w:color w:val="185FA5"/>
          <w:sz w:val="26"/>
          <w:szCs w:val="26"/>
        </w:rPr>
        <w:t xml:space="preserve">“I didn’t know” is not a legal defense. It has never been a legal defense. And the insurance carriers do not accept it as one.</w:t>
      </w:r>
    </w:p>
    <w:p>
      <w:pPr>
        <w:pStyle w:val="Heading2"/>
        <w:spacing w:after="160" w:before="360"/>
      </w:pPr>
      <w:r>
        <w:rPr>
          <w:rFonts w:ascii="Arial" w:cs="Arial" w:eastAsia="Arial" w:hAnsi="Arial"/>
          <w:b/>
          <w:bCs/>
          <w:color w:val="185FA5"/>
          <w:sz w:val="30"/>
          <w:szCs w:val="30"/>
        </w:rPr>
        <w:t xml:space="preserve">The office manager knew. The doctor didn’t.</w:t>
      </w:r>
    </w:p>
    <w:p>
      <w:pPr>
        <w:spacing w:after="220" w:before="0"/>
      </w:pPr>
      <w:r>
        <w:rPr>
          <w:rFonts w:ascii="Arial" w:cs="Arial" w:eastAsia="Arial" w:hAnsi="Arial"/>
          <w:color w:val="222222"/>
          <w:sz w:val="24"/>
          <w:szCs w:val="24"/>
        </w:rPr>
        <w:t xml:space="preserve">This is the dynamic that haunts me about this case. There was a person in that practice — every single day — who understood exactly what was happening and exactly why it was wrong. She raised it. She pushed back. She tried. And she was overruled, repeatedly, by someone with the authority to override her and the blind spot to do so confidently.</w:t>
      </w:r>
    </w:p>
    <w:p>
      <w:pPr>
        <w:spacing w:after="220" w:before="0"/>
      </w:pPr>
      <w:r>
        <w:rPr>
          <w:rFonts w:ascii="Arial" w:cs="Arial" w:eastAsia="Arial" w:hAnsi="Arial"/>
          <w:color w:val="222222"/>
          <w:sz w:val="24"/>
          <w:szCs w:val="24"/>
        </w:rPr>
        <w:t xml:space="preserve">This is what happens when owner oversight is absent — not because the owner isn’t present, but because the owner is the problem. His experience running the practice did not include the one thing that would have protected him: knowing what he didn’t know.</w:t>
      </w:r>
    </w:p>
    <w:p>
      <w:pPr>
        <w:pStyle w:val="Heading2"/>
        <w:spacing w:after="160" w:before="360"/>
      </w:pPr>
      <w:r>
        <w:rPr>
          <w:rFonts w:ascii="Arial" w:cs="Arial" w:eastAsia="Arial" w:hAnsi="Arial"/>
          <w:b/>
          <w:bCs/>
          <w:color w:val="185FA5"/>
          <w:sz w:val="30"/>
          <w:szCs w:val="30"/>
        </w:rPr>
        <w:t xml:space="preserve">The conversation</w:t>
      </w:r>
    </w:p>
    <w:p>
      <w:pPr>
        <w:spacing w:after="220" w:before="0"/>
      </w:pPr>
      <w:r>
        <w:rPr>
          <w:rFonts w:ascii="Arial" w:cs="Arial" w:eastAsia="Arial" w:hAnsi="Arial"/>
          <w:color w:val="222222"/>
          <w:sz w:val="24"/>
          <w:szCs w:val="24"/>
        </w:rPr>
        <w:t xml:space="preserve">When I was brought in by a consulting firm and explained to the doctor that what he was doing constituted fraud — that his generosity was a legal liability, that “I didn’t know” would not protect him, that his office manager had been right all along — he was shocked.</w:t>
      </w:r>
    </w:p>
    <w:p>
      <w:pPr>
        <w:spacing w:after="220" w:before="0"/>
      </w:pPr>
      <w:r>
        <w:rPr>
          <w:rFonts w:ascii="Arial" w:cs="Arial" w:eastAsia="Arial" w:hAnsi="Arial"/>
          <w:color w:val="222222"/>
          <w:sz w:val="24"/>
          <w:szCs w:val="24"/>
        </w:rPr>
        <w:t xml:space="preserve">Genuinely shocked.</w:t>
      </w:r>
    </w:p>
    <w:p>
      <w:pPr>
        <w:spacing w:after="220" w:before="0"/>
      </w:pPr>
      <w:r>
        <w:rPr>
          <w:rFonts w:ascii="Arial" w:cs="Arial" w:eastAsia="Arial" w:hAnsi="Arial"/>
          <w:color w:val="222222"/>
          <w:sz w:val="24"/>
          <w:szCs w:val="24"/>
        </w:rPr>
        <w:t xml:space="preserve">And then, to his enormous credit, he was receptive.</w:t>
      </w:r>
    </w:p>
    <w:p>
      <w:pPr>
        <w:spacing w:after="220" w:before="0"/>
      </w:pPr>
      <w:r>
        <w:rPr>
          <w:rFonts w:ascii="Arial" w:cs="Arial" w:eastAsia="Arial" w:hAnsi="Arial"/>
          <w:color w:val="222222"/>
          <w:sz w:val="24"/>
          <w:szCs w:val="24"/>
        </w:rPr>
        <w:t xml:space="preserve">That combination — shock followed by receptivity — is the best possible outcome in a conversation like that one. It means the information landed. It means change was possible. Not every doctor responds that way.</w:t>
      </w:r>
    </w:p>
    <w:p>
      <w:pPr>
        <w:pBdr>
          <w:top w:val="none" w:color="FFFFFF" w:sz="0"/>
          <w:left w:val="single" w:color="185FA5" w:sz="18"/>
          <w:bottom w:val="none" w:color="FFFFFF" w:sz="0"/>
          <w:right w:val="none" w:color="FFFFFF" w:sz="0"/>
        </w:pBdr>
        <w:shd w:fill="EBF3FB" w:val="clear"/>
        <w:spacing w:after="320" w:before="280"/>
        <w:ind w:left="360"/>
      </w:pPr>
      <w:r>
        <w:rPr>
          <w:rFonts w:ascii="Arial" w:cs="Arial" w:eastAsia="Arial" w:hAnsi="Arial"/>
          <w:i/>
          <w:iCs/>
          <w:color w:val="185FA5"/>
          <w:sz w:val="26"/>
          <w:szCs w:val="26"/>
        </w:rPr>
        <w:t xml:space="preserve">“The most dangerous words in a dental practice are not ‘I made a mistake.’ They are ‘I didn’t know it was wrong.’”</w:t>
      </w:r>
    </w:p>
    <w:p>
      <w:pPr>
        <w:pStyle w:val="Heading2"/>
        <w:spacing w:after="160" w:before="360"/>
      </w:pPr>
      <w:r>
        <w:rPr>
          <w:rFonts w:ascii="Arial" w:cs="Arial" w:eastAsia="Arial" w:hAnsi="Arial"/>
          <w:b/>
          <w:bCs/>
          <w:color w:val="185FA5"/>
          <w:sz w:val="30"/>
          <w:szCs w:val="30"/>
        </w:rPr>
        <w:t xml:space="preserve">What changed</w:t>
      </w:r>
    </w:p>
    <w:p>
      <w:pPr>
        <w:spacing w:after="220" w:before="0"/>
      </w:pPr>
      <w:r>
        <w:rPr>
          <w:rFonts w:ascii="Arial" w:cs="Arial" w:eastAsia="Arial" w:hAnsi="Arial"/>
          <w:color w:val="222222"/>
          <w:sz w:val="24"/>
          <w:szCs w:val="24"/>
        </w:rPr>
        <w:t xml:space="preserve">Policies were put in place governing how discounts are applied, documented, and reflected on claim forms. The office manager — who had been carrying this alone for far too long — finally had the backing she needed. The doctor, now understanding the legal exposure, stopped the ad hoc discount conversations entirely. And the $6,700 in adjustments became the number that changed how an entire practice operated.</w:t>
      </w:r>
    </w:p>
    <w:p>
      <w:pPr>
        <w:pStyle w:val="Heading2"/>
        <w:spacing w:after="160" w:before="360"/>
      </w:pPr>
      <w:r>
        <w:rPr>
          <w:rFonts w:ascii="Arial" w:cs="Arial" w:eastAsia="Arial" w:hAnsi="Arial"/>
          <w:b/>
          <w:bCs/>
          <w:color w:val="185FA5"/>
          <w:sz w:val="30"/>
          <w:szCs w:val="30"/>
        </w:rPr>
        <w:t xml:space="preserve">Why this case matters beyond the numbers</w:t>
      </w:r>
    </w:p>
    <w:p>
      <w:pPr>
        <w:spacing w:after="220" w:before="0"/>
      </w:pPr>
      <w:r>
        <w:rPr>
          <w:rFonts w:ascii="Arial" w:cs="Arial" w:eastAsia="Arial" w:hAnsi="Arial"/>
          <w:color w:val="222222"/>
          <w:sz w:val="24"/>
          <w:szCs w:val="24"/>
        </w:rPr>
        <w:t xml:space="preserve">$6,700 is not the largest number in this collection of case studies. But it produced the most important outcome — because it made clear that the problem was never just billing errors or lazy workflows or undertrained staff.</w:t>
      </w:r>
    </w:p>
    <w:p>
      <w:pPr>
        <w:spacing w:after="220" w:before="0"/>
      </w:pPr>
      <w:r>
        <w:rPr>
          <w:rFonts w:ascii="Arial" w:cs="Arial" w:eastAsia="Arial" w:hAnsi="Arial"/>
          <w:color w:val="222222"/>
          <w:sz w:val="24"/>
          <w:szCs w:val="24"/>
        </w:rPr>
        <w:t xml:space="preserve">The problem was structural. The problem was that no one had ever handed this doctor a framework for understanding where his revenue was vulnerable, where his legal exposure lived, and what it actually meant to be the owner — not just of the clinical decisions, but of every financial decision made under his roof.</w:t>
      </w:r>
    </w:p>
    <w:p>
      <w:pPr>
        <w:spacing w:after="220" w:before="0"/>
      </w:pPr>
      <w:r>
        <w:rPr>
          <w:rFonts w:ascii="Arial" w:cs="Arial" w:eastAsia="Arial" w:hAnsi="Arial"/>
          <w:color w:val="222222"/>
          <w:sz w:val="24"/>
          <w:szCs w:val="24"/>
        </w:rPr>
        <w:t xml:space="preserve">That is why Revenue Protection Architecture exists. Not to catch criminals. Not to audit staff. But to give practice owners the structure, the language, and the knowledge to protect what they have worked so hard to build — before a frustrated office manager, a confused adjustment report, or a Tuesday morning phone call forces the conversation.</w:t>
      </w:r>
    </w:p>
    <w:p>
      <w:pPr>
        <w:pBdr>
          <w:bottom w:val="single" w:color="DDDDDD" w:sz="4"/>
        </w:pBdr>
        <w:spacing w:after="0" w:before="240"/>
      </w:pPr>
      <w:r>
        <w:t xml:space="preserve"/>
      </w:r>
    </w:p>
    <w:p>
      <w:pPr>
        <w:spacing w:after="200" w:before="0"/>
      </w:pPr>
      <w:r>
        <w:t xml:space="preserve"/>
      </w:r>
    </w:p>
    <w:p>
      <w:pPr>
        <w:spacing w:after="160" w:before="0"/>
      </w:pPr>
      <w:r>
        <w:rPr>
          <w:rFonts w:ascii="Arial" w:cs="Arial" w:eastAsia="Arial" w:hAnsi="Arial"/>
          <w:b/>
          <w:bCs/>
          <w:color w:val="185FA5"/>
          <w:spacing w:val="80"/>
          <w:sz w:val="18"/>
          <w:szCs w:val="18"/>
        </w:rPr>
        <w:t xml:space="preserve">WHAT THIS CASE ILLUSTRATES</w:t>
      </w:r>
    </w:p>
    <w:p>
      <w:pPr>
        <w:pStyle w:val="ListParagraph"/>
        <w:numPr>
          <w:ilvl w:val="0"/>
          <w:numId w:val="2"/>
        </w:numPr>
        <w:spacing w:after="60" w:before="60"/>
      </w:pPr>
      <w:r>
        <w:rPr>
          <w:rFonts w:ascii="Arial" w:cs="Arial" w:eastAsia="Arial" w:hAnsi="Arial"/>
          <w:color w:val="444444"/>
          <w:sz w:val="22"/>
          <w:szCs w:val="22"/>
        </w:rPr>
        <w:t xml:space="preserve">Discounts must be documented and reflected accurately on the claim form — always</w:t>
      </w:r>
    </w:p>
    <w:p>
      <w:pPr>
        <w:pStyle w:val="ListParagraph"/>
        <w:numPr>
          <w:ilvl w:val="0"/>
          <w:numId w:val="2"/>
        </w:numPr>
        <w:spacing w:after="60" w:before="60"/>
      </w:pPr>
      <w:r>
        <w:rPr>
          <w:rFonts w:ascii="Arial" w:cs="Arial" w:eastAsia="Arial" w:hAnsi="Arial"/>
          <w:color w:val="444444"/>
          <w:sz w:val="22"/>
          <w:szCs w:val="22"/>
        </w:rPr>
        <w:t xml:space="preserve">Waiving patient co-pays and cost-sharing without disclosure is a contractual and legal violation</w:t>
      </w:r>
    </w:p>
    <w:p>
      <w:pPr>
        <w:pStyle w:val="ListParagraph"/>
        <w:numPr>
          <w:ilvl w:val="0"/>
          <w:numId w:val="2"/>
        </w:numPr>
        <w:spacing w:after="60" w:before="60"/>
      </w:pPr>
      <w:r>
        <w:rPr>
          <w:rFonts w:ascii="Arial" w:cs="Arial" w:eastAsia="Arial" w:hAnsi="Arial"/>
          <w:color w:val="444444"/>
          <w:sz w:val="22"/>
          <w:szCs w:val="22"/>
        </w:rPr>
        <w:t xml:space="preserve">“I didn’t know” is not a legal defense</w:t>
      </w:r>
    </w:p>
    <w:p>
      <w:pPr>
        <w:pStyle w:val="ListParagraph"/>
        <w:numPr>
          <w:ilvl w:val="0"/>
          <w:numId w:val="2"/>
        </w:numPr>
        <w:spacing w:after="60" w:before="60"/>
      </w:pPr>
      <w:r>
        <w:rPr>
          <w:rFonts w:ascii="Arial" w:cs="Arial" w:eastAsia="Arial" w:hAnsi="Arial"/>
          <w:color w:val="444444"/>
          <w:sz w:val="22"/>
          <w:szCs w:val="22"/>
        </w:rPr>
        <w:t xml:space="preserve">An experienced office manager is only as effective as the owner who supports her</w:t>
      </w:r>
    </w:p>
    <w:p>
      <w:pPr>
        <w:pStyle w:val="ListParagraph"/>
        <w:numPr>
          <w:ilvl w:val="0"/>
          <w:numId w:val="2"/>
        </w:numPr>
        <w:spacing w:after="60" w:before="60"/>
      </w:pPr>
      <w:r>
        <w:rPr>
          <w:rFonts w:ascii="Arial" w:cs="Arial" w:eastAsia="Arial" w:hAnsi="Arial"/>
          <w:color w:val="444444"/>
          <w:sz w:val="22"/>
          <w:szCs w:val="22"/>
        </w:rPr>
        <w:t xml:space="preserve">Owner oversight means more than reviewing reports — it means understanding the rules the practice is bound by</w:t>
      </w:r>
    </w:p>
    <w:p>
      <w:pPr>
        <w:pStyle w:val="ListParagraph"/>
        <w:numPr>
          <w:ilvl w:val="0"/>
          <w:numId w:val="2"/>
        </w:numPr>
        <w:spacing w:after="60" w:before="60"/>
      </w:pPr>
      <w:r>
        <w:rPr>
          <w:rFonts w:ascii="Arial" w:cs="Arial" w:eastAsia="Arial" w:hAnsi="Arial"/>
          <w:color w:val="444444"/>
          <w:sz w:val="22"/>
          <w:szCs w:val="22"/>
        </w:rPr>
        <w:t xml:space="preserve">This case is the reason Revenue Protection Architecture was created</w:t>
      </w:r>
    </w:p>
    <w:p>
      <w:pPr>
        <w:pBdr>
          <w:bottom w:val="single" w:color="DDDDDD" w:sz="4"/>
        </w:pBdr>
        <w:spacing w:after="0" w:before="400"/>
      </w:pPr>
      <w:r>
        <w:t xml:space="preserve"/>
      </w:r>
    </w:p>
    <w:p>
      <w:pPr>
        <w:spacing w:after="160" w:before="0"/>
      </w:pPr>
      <w:r>
        <w:t xml:space="preserve"/>
      </w:r>
    </w:p>
    <w:p>
      <w:r>
        <w:rPr>
          <w:rFonts w:ascii="Arial" w:cs="Arial" w:eastAsia="Arial" w:hAnsi="Arial"/>
          <w:b/>
          <w:bCs/>
          <w:color w:val="222222"/>
          <w:sz w:val="24"/>
          <w:szCs w:val="24"/>
        </w:rPr>
        <w:t xml:space="preserve">Michelle</w:t>
      </w:r>
      <w:r>
        <w:rPr>
          <w:rFonts w:ascii="Arial" w:cs="Arial" w:eastAsia="Arial" w:hAnsi="Arial"/>
          <w:color w:val="888888"/>
          <w:sz w:val="20"/>
          <w:szCs w:val="20"/>
        </w:rPr>
        <w:t xml:space="preserve">  |  Keynote Speaker · Creator of Revenue Protection Architecture · 36 Years in Dental Revenue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2222"/>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0"/>
      <w:outlineLvl w:val="0"/>
    </w:pPr>
    <w:rPr>
      <w:rFonts w:ascii="Arial" w:cs="Arial" w:eastAsia="Arial" w:hAnsi="Arial"/>
      <w:b/>
      <w:bCs/>
      <w:color w:val="042C53"/>
      <w:sz w:val="44"/>
      <w:szCs w:val="44"/>
    </w:rPr>
  </w:style>
  <w:style w:type="paragraph" w:styleId="Heading2">
    <w:name w:val="Heading 2"/>
    <w:basedOn w:val="Normal"/>
    <w:next w:val="Normal"/>
    <w:qFormat/>
    <w:pPr>
      <w:spacing w:after="160" w:before="320"/>
      <w:outlineLvl w:val="1"/>
    </w:pPr>
    <w:rPr>
      <w:rFonts w:ascii="Arial" w:cs="Arial" w:eastAsia="Arial" w:hAnsi="Arial"/>
      <w:b/>
      <w:bCs/>
      <w:color w:val="185FA5"/>
      <w:sz w:val="30"/>
      <w:szCs w:val="3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2026-05-20T09:37:13.998Z</dcterms:created>
  <dcterms:modified xsi:type="dcterms:W3CDTF">2026-05-20T09:37:14.011Z</dcterms:modified>
</cp:coreProperties>
</file>

<file path=docProps/custom.xml><?xml version="1.0" encoding="utf-8"?>
<Properties xmlns="http://schemas.openxmlformats.org/officeDocument/2006/custom-properties" xmlns:vt="http://schemas.openxmlformats.org/officeDocument/2006/docPropsVTypes"/>
</file>